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F54" w:rsidRPr="00BE60F8" w:rsidRDefault="000F7F54" w:rsidP="000F7F54">
      <w:r w:rsidRPr="00BE60F8">
        <w:tab/>
      </w:r>
    </w:p>
    <w:p w:rsidR="00AE72C7" w:rsidRPr="00AE72C7" w:rsidRDefault="00AE72C7" w:rsidP="00AE72C7">
      <w:pPr>
        <w:jc w:val="center"/>
        <w:rPr>
          <w:rFonts w:cs="Times New Roman"/>
          <w:b/>
          <w:bCs w:val="0"/>
          <w:sz w:val="24"/>
          <w:szCs w:val="24"/>
          <w:u w:val="single"/>
        </w:rPr>
      </w:pPr>
      <w:bookmarkStart w:id="0" w:name="_GoBack"/>
      <w:bookmarkEnd w:id="0"/>
      <w:r w:rsidRPr="00AE72C7">
        <w:rPr>
          <w:rFonts w:cs="Times New Roman"/>
          <w:b/>
          <w:bCs w:val="0"/>
          <w:sz w:val="24"/>
          <w:szCs w:val="24"/>
          <w:u w:val="single"/>
        </w:rPr>
        <w:t>Transcript Review Worksheet</w:t>
      </w:r>
    </w:p>
    <w:p w:rsidR="00AE72C7" w:rsidRPr="00AE72C7" w:rsidRDefault="00AE72C7" w:rsidP="00AE72C7">
      <w:pPr>
        <w:jc w:val="center"/>
        <w:rPr>
          <w:rFonts w:cs="Times New Roman"/>
          <w:b/>
          <w:bCs w:val="0"/>
          <w:sz w:val="24"/>
          <w:szCs w:val="24"/>
          <w:u w:val="single"/>
        </w:rPr>
      </w:pPr>
    </w:p>
    <w:p w:rsidR="000D0FC4" w:rsidRDefault="000D0FC4" w:rsidP="00BC6390">
      <w:pPr>
        <w:jc w:val="center"/>
        <w:rPr>
          <w:rFonts w:cs="Times New Roman"/>
          <w:b/>
          <w:bCs w:val="0"/>
          <w:sz w:val="24"/>
          <w:szCs w:val="24"/>
        </w:rPr>
      </w:pPr>
      <w:r w:rsidRPr="000D0FC4">
        <w:rPr>
          <w:rFonts w:cs="Times New Roman"/>
          <w:b/>
          <w:bCs w:val="0"/>
          <w:sz w:val="24"/>
          <w:szCs w:val="24"/>
        </w:rPr>
        <w:t>5440-</w:t>
      </w:r>
      <w:r w:rsidR="00BC6390" w:rsidRPr="000D0FC4">
        <w:rPr>
          <w:rFonts w:cs="Times New Roman"/>
          <w:b/>
          <w:bCs w:val="0"/>
          <w:sz w:val="24"/>
          <w:szCs w:val="24"/>
        </w:rPr>
        <w:t xml:space="preserve"> 84 – Educational Speech Language Pathologist Endorsement </w:t>
      </w:r>
    </w:p>
    <w:p w:rsidR="00AE72C7" w:rsidRPr="00AE72C7" w:rsidRDefault="00AE72C7" w:rsidP="00AE72C7">
      <w:pPr>
        <w:jc w:val="center"/>
        <w:rPr>
          <w:rFonts w:cs="Times New Roman"/>
          <w:b/>
          <w:bCs w:val="0"/>
          <w:sz w:val="24"/>
          <w:szCs w:val="24"/>
        </w:rPr>
      </w:pPr>
    </w:p>
    <w:p w:rsidR="00BC6390" w:rsidRDefault="00BC6390" w:rsidP="00BC6390">
      <w:pPr>
        <w:pStyle w:val="BodyText3"/>
        <w:rPr>
          <w:rFonts w:ascii="Palatino Linotype" w:hAnsi="Palatino Linotype"/>
          <w:iCs/>
          <w:sz w:val="24"/>
          <w:szCs w:val="24"/>
        </w:rPr>
      </w:pPr>
      <w:r w:rsidRPr="000D0FC4">
        <w:rPr>
          <w:rFonts w:ascii="Palatino Linotype" w:hAnsi="Palatino Linotype"/>
          <w:iCs/>
          <w:sz w:val="24"/>
          <w:szCs w:val="24"/>
        </w:rPr>
        <w:t>The holder is authorized to provide speech and language services, including case management and comprehensive evaluation services, to individuals age 3 through 21</w:t>
      </w:r>
      <w:r w:rsidR="000D0FC4">
        <w:rPr>
          <w:rFonts w:ascii="Palatino Linotype" w:hAnsi="Palatino Linotype"/>
          <w:iCs/>
          <w:sz w:val="24"/>
          <w:szCs w:val="24"/>
        </w:rPr>
        <w:t xml:space="preserve"> </w:t>
      </w:r>
      <w:r w:rsidRPr="000D0FC4">
        <w:rPr>
          <w:rFonts w:ascii="Palatino Linotype" w:hAnsi="Palatino Linotype"/>
          <w:iCs/>
          <w:sz w:val="24"/>
          <w:szCs w:val="24"/>
        </w:rPr>
        <w:t>in a school setting.</w:t>
      </w:r>
    </w:p>
    <w:p w:rsidR="000D0FC4" w:rsidRDefault="000D0FC4" w:rsidP="000D0FC4">
      <w:pPr>
        <w:pStyle w:val="BodyText3"/>
        <w:spacing w:after="0"/>
        <w:rPr>
          <w:rFonts w:ascii="Palatino Linotype" w:hAnsi="Palatino Linotype"/>
          <w:iCs/>
          <w:sz w:val="24"/>
          <w:szCs w:val="24"/>
        </w:rPr>
      </w:pPr>
    </w:p>
    <w:p w:rsidR="000D0FC4" w:rsidRPr="0058200E" w:rsidRDefault="000D0FC4" w:rsidP="000D0FC4">
      <w:pPr>
        <w:jc w:val="center"/>
        <w:rPr>
          <w:rFonts w:eastAsia="Palatino Linotype" w:cs="Palatino Linotype"/>
          <w:b/>
        </w:rPr>
      </w:pPr>
      <w:r w:rsidRPr="0058200E">
        <w:rPr>
          <w:rFonts w:eastAsia="Palatino Linotype" w:cs="Palatino Linotype"/>
          <w:b/>
        </w:rPr>
        <w:t>Name:  __________________________________ Educator ID#: ______________________</w:t>
      </w:r>
    </w:p>
    <w:p w:rsidR="000D0FC4" w:rsidRPr="0058200E" w:rsidRDefault="000D0FC4" w:rsidP="000D0FC4">
      <w:pPr>
        <w:jc w:val="center"/>
        <w:rPr>
          <w:rFonts w:eastAsia="Palatino Linotype" w:cs="Palatino Linotype"/>
        </w:rPr>
      </w:pPr>
    </w:p>
    <w:p w:rsidR="000D0FC4" w:rsidRPr="0058200E" w:rsidRDefault="000D0FC4" w:rsidP="000D0FC4">
      <w:pPr>
        <w:jc w:val="center"/>
        <w:rPr>
          <w:rFonts w:cs="Times New Roman"/>
          <w:b/>
        </w:rPr>
      </w:pPr>
      <w:sdt>
        <w:sdtPr>
          <w:rPr>
            <w:rFonts w:cs="Segoe UI Symbol"/>
            <w:b/>
          </w:rPr>
          <w:id w:val="429404082"/>
          <w14:checkbox>
            <w14:checked w14:val="0"/>
            <w14:checkedState w14:val="2612" w14:font="MS Gothic"/>
            <w14:uncheckedState w14:val="2610" w14:font="MS Gothic"/>
          </w14:checkbox>
        </w:sdtPr>
        <w:sdtContent>
          <w:r>
            <w:rPr>
              <w:rFonts w:ascii="MS Gothic" w:eastAsia="MS Gothic" w:hAnsi="MS Gothic" w:cs="Segoe UI Symbol" w:hint="eastAsia"/>
              <w:b/>
            </w:rPr>
            <w:t>☐</w:t>
          </w:r>
        </w:sdtContent>
      </w:sdt>
      <w:r w:rsidRPr="0058200E">
        <w:rPr>
          <w:rFonts w:cs="Times New Roman"/>
          <w:b/>
        </w:rPr>
        <w:t xml:space="preserve"> Add Endorsement</w:t>
      </w:r>
      <w:r w:rsidRPr="0058200E">
        <w:rPr>
          <w:rFonts w:cs="Times New Roman"/>
          <w:b/>
        </w:rPr>
        <w:tab/>
      </w:r>
      <w:r w:rsidRPr="0058200E">
        <w:rPr>
          <w:rFonts w:cs="Times New Roman"/>
          <w:b/>
        </w:rPr>
        <w:tab/>
      </w:r>
      <w:r w:rsidRPr="0058200E">
        <w:rPr>
          <w:rFonts w:cs="Times New Roman"/>
          <w:b/>
        </w:rPr>
        <w:tab/>
      </w:r>
      <w:sdt>
        <w:sdtPr>
          <w:rPr>
            <w:rFonts w:cs="Times New Roman"/>
            <w:b/>
          </w:rPr>
          <w:id w:val="164519261"/>
          <w14:checkbox>
            <w14:checked w14:val="0"/>
            <w14:checkedState w14:val="2612" w14:font="MS Gothic"/>
            <w14:uncheckedState w14:val="2610" w14:font="MS Gothic"/>
          </w14:checkbox>
        </w:sdtPr>
        <w:sdtContent>
          <w:r w:rsidRPr="0058200E">
            <w:rPr>
              <w:rFonts w:ascii="Segoe UI Symbol" w:eastAsia="MS Gothic" w:hAnsi="Segoe UI Symbol" w:cs="Segoe UI Symbol"/>
              <w:b/>
            </w:rPr>
            <w:t>☐</w:t>
          </w:r>
        </w:sdtContent>
      </w:sdt>
      <w:r w:rsidRPr="0058200E">
        <w:rPr>
          <w:rFonts w:cs="Times New Roman"/>
          <w:b/>
        </w:rPr>
        <w:t xml:space="preserve"> Course Audit</w:t>
      </w:r>
    </w:p>
    <w:p w:rsidR="000D0FC4" w:rsidRPr="0058200E" w:rsidRDefault="000D0FC4" w:rsidP="000D0FC4">
      <w:pPr>
        <w:jc w:val="center"/>
        <w:rPr>
          <w:rFonts w:cs="Times New Roman"/>
          <w:b/>
        </w:rPr>
      </w:pPr>
    </w:p>
    <w:p w:rsidR="000D0FC4" w:rsidRPr="0058200E" w:rsidRDefault="000D0FC4" w:rsidP="000D0FC4">
      <w:pPr>
        <w:jc w:val="center"/>
        <w:rPr>
          <w:rFonts w:eastAsia="Palatino Linotype" w:cs="Palatino Linotype"/>
        </w:rPr>
      </w:pPr>
      <w:r w:rsidRPr="0058200E">
        <w:rPr>
          <w:rFonts w:eastAsia="Palatino Linotype" w:cs="Palatino Linotype"/>
        </w:rPr>
        <w:t xml:space="preserve">Please note that the transcript review worksheets indicate only the endorsement competencies that must be met. There may be additional jurisdictional requirements. </w:t>
      </w:r>
    </w:p>
    <w:p w:rsidR="000D0FC4" w:rsidRPr="00226D95" w:rsidRDefault="000D0FC4" w:rsidP="000D0FC4">
      <w:pPr>
        <w:jc w:val="center"/>
        <w:rPr>
          <w:rFonts w:eastAsia="Palatino Linotype" w:cs="Palatino Linotype"/>
          <w:i/>
        </w:rPr>
      </w:pPr>
      <w:r w:rsidRPr="0058200E">
        <w:rPr>
          <w:rFonts w:eastAsia="Palatino Linotype" w:cs="Palatino Linotype"/>
        </w:rPr>
        <w:t xml:space="preserve">For a full list of requirements, please consult the </w:t>
      </w:r>
      <w:hyperlink r:id="rId8" w:history="1">
        <w:r w:rsidRPr="0058200E">
          <w:rPr>
            <w:rStyle w:val="Hyperlink"/>
            <w:rFonts w:eastAsia="Palatino Linotype" w:cs="Palatino Linotype"/>
          </w:rPr>
          <w:t>Rules Governing the Licensing of Educators</w:t>
        </w:r>
      </w:hyperlink>
    </w:p>
    <w:p w:rsidR="000D0FC4" w:rsidRPr="000D0FC4" w:rsidRDefault="000D0FC4" w:rsidP="00BC6390">
      <w:pPr>
        <w:pStyle w:val="BodyText3"/>
        <w:rPr>
          <w:rFonts w:ascii="Palatino Linotype" w:hAnsi="Palatino Linotype"/>
          <w:iCs/>
          <w:sz w:val="24"/>
          <w:szCs w:val="24"/>
        </w:rPr>
      </w:pPr>
    </w:p>
    <w:p w:rsidR="00BC6390" w:rsidRPr="00F56720" w:rsidRDefault="00BC6390" w:rsidP="00BC6390">
      <w:pPr>
        <w:jc w:val="center"/>
        <w:rPr>
          <w:b/>
        </w:rPr>
      </w:pPr>
      <w:r w:rsidRPr="00F56720">
        <w:rPr>
          <w:b/>
        </w:rPr>
        <w:t>Speech Language Pathologists who wish to work in school settings must complete this sheet.</w:t>
      </w:r>
    </w:p>
    <w:p w:rsidR="00BC6390" w:rsidRPr="00F56720" w:rsidRDefault="00BC6390" w:rsidP="00BC6390">
      <w:pPr>
        <w:jc w:val="center"/>
      </w:pPr>
      <w:r w:rsidRPr="00F56720">
        <w:t>Please</w:t>
      </w:r>
      <w:r>
        <w:t xml:space="preserve"> list academic coursework </w:t>
      </w:r>
      <w:r w:rsidRPr="00F56720">
        <w:t>that fulfill</w:t>
      </w:r>
      <w:r>
        <w:t>s</w:t>
      </w:r>
      <w:r w:rsidRPr="00F56720">
        <w:t xml:space="preserve"> each competency.</w:t>
      </w:r>
    </w:p>
    <w:p w:rsidR="00BC6390" w:rsidRPr="00643100" w:rsidRDefault="00BC6390" w:rsidP="00BC6390">
      <w:pPr>
        <w:jc w:val="center"/>
      </w:pPr>
      <w:r w:rsidRPr="00F56720">
        <w:t>Experience may not be used to meet these requirements.</w:t>
      </w:r>
    </w:p>
    <w:p w:rsidR="00BC6390" w:rsidRDefault="00BC6390" w:rsidP="00BC6390">
      <w:pPr>
        <w:pStyle w:val="Heading8"/>
        <w:spacing w:before="0"/>
        <w:rPr>
          <w:rFonts w:ascii="Palatino Linotype" w:hAnsi="Palatino Linotype"/>
          <w:b/>
          <w:sz w:val="22"/>
          <w:szCs w:val="22"/>
        </w:rPr>
      </w:pPr>
    </w:p>
    <w:p w:rsidR="00BC6390" w:rsidRPr="000E37FC" w:rsidRDefault="00BC6390" w:rsidP="00BC6390">
      <w:pPr>
        <w:pStyle w:val="Heading8"/>
        <w:spacing w:before="0"/>
        <w:rPr>
          <w:rFonts w:ascii="Palatino Linotype" w:hAnsi="Palatino Linotype"/>
          <w:b/>
          <w:i/>
          <w:sz w:val="22"/>
          <w:szCs w:val="22"/>
        </w:rPr>
      </w:pPr>
      <w:r w:rsidRPr="000E37FC">
        <w:rPr>
          <w:rFonts w:ascii="Palatino Linotype" w:hAnsi="Palatino Linotype"/>
          <w:b/>
          <w:sz w:val="22"/>
          <w:szCs w:val="22"/>
        </w:rPr>
        <w:t xml:space="preserve">Testing Requirement: Praxis Core Series: Pre-Professional Skills Tests in Writing, Reading and Math or an </w:t>
      </w:r>
      <w:hyperlink r:id="rId9" w:history="1">
        <w:r w:rsidRPr="00BD50D9">
          <w:rPr>
            <w:rStyle w:val="Hyperlink"/>
            <w:rFonts w:ascii="Palatino Linotype" w:hAnsi="Palatino Linotype"/>
            <w:b/>
            <w:color w:val="auto"/>
            <w:sz w:val="22"/>
            <w:szCs w:val="22"/>
          </w:rPr>
          <w:t>approved alternative test</w:t>
        </w:r>
      </w:hyperlink>
      <w:r w:rsidRPr="00BD50D9">
        <w:rPr>
          <w:rFonts w:ascii="Palatino Linotype" w:hAnsi="Palatino Linotype"/>
          <w:b/>
          <w:sz w:val="22"/>
          <w:szCs w:val="22"/>
        </w:rPr>
        <w:t>.</w:t>
      </w:r>
    </w:p>
    <w:p w:rsidR="00AE72C7" w:rsidRPr="00AE72C7" w:rsidRDefault="00AE72C7" w:rsidP="00AE72C7">
      <w:pPr>
        <w:rPr>
          <w:rFonts w:cs="Times New Roman"/>
          <w:b/>
          <w:bCs w:val="0"/>
          <w:sz w:val="24"/>
          <w:szCs w:val="20"/>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15"/>
        <w:gridCol w:w="1800"/>
        <w:gridCol w:w="1080"/>
        <w:gridCol w:w="900"/>
        <w:gridCol w:w="1350"/>
      </w:tblGrid>
      <w:tr w:rsidR="000D0FC4" w:rsidRPr="00BC6390" w:rsidTr="000D0FC4">
        <w:trPr>
          <w:tblHeader/>
          <w:jc w:val="center"/>
        </w:trPr>
        <w:tc>
          <w:tcPr>
            <w:tcW w:w="5215" w:type="dxa"/>
            <w:tcBorders>
              <w:bottom w:val="single" w:sz="4" w:space="0" w:color="auto"/>
            </w:tcBorders>
            <w:shd w:val="pct20" w:color="auto" w:fill="FFFFFF"/>
          </w:tcPr>
          <w:p w:rsidR="000D0FC4" w:rsidRPr="00BC6390" w:rsidRDefault="000D0FC4" w:rsidP="00BC6390">
            <w:pPr>
              <w:rPr>
                <w:b/>
                <w:sz w:val="20"/>
              </w:rPr>
            </w:pPr>
            <w:r w:rsidRPr="00BC6390">
              <w:rPr>
                <w:b/>
                <w:sz w:val="20"/>
              </w:rPr>
              <w:t>Content</w:t>
            </w:r>
            <w:r>
              <w:rPr>
                <w:b/>
                <w:sz w:val="20"/>
              </w:rPr>
              <w:t xml:space="preserve"> </w:t>
            </w:r>
            <w:r w:rsidRPr="00BC6390">
              <w:rPr>
                <w:b/>
                <w:sz w:val="20"/>
              </w:rPr>
              <w:t>Topic</w:t>
            </w:r>
          </w:p>
        </w:tc>
        <w:tc>
          <w:tcPr>
            <w:tcW w:w="1800" w:type="dxa"/>
            <w:tcBorders>
              <w:bottom w:val="single" w:sz="4" w:space="0" w:color="auto"/>
            </w:tcBorders>
            <w:shd w:val="pct20" w:color="auto" w:fill="FFFFFF"/>
          </w:tcPr>
          <w:p w:rsidR="000D0FC4" w:rsidRPr="00BC6390" w:rsidRDefault="000D0FC4" w:rsidP="00BC6390">
            <w:pPr>
              <w:rPr>
                <w:b/>
                <w:sz w:val="20"/>
              </w:rPr>
            </w:pPr>
            <w:r w:rsidRPr="00BC6390">
              <w:rPr>
                <w:b/>
                <w:sz w:val="20"/>
              </w:rPr>
              <w:t>College/</w:t>
            </w:r>
          </w:p>
          <w:p w:rsidR="000D0FC4" w:rsidRPr="00BC6390" w:rsidRDefault="000D0FC4" w:rsidP="00BC6390">
            <w:pPr>
              <w:rPr>
                <w:b/>
                <w:sz w:val="20"/>
              </w:rPr>
            </w:pPr>
            <w:r w:rsidRPr="00BC6390">
              <w:rPr>
                <w:b/>
                <w:sz w:val="20"/>
              </w:rPr>
              <w:t>University</w:t>
            </w:r>
          </w:p>
        </w:tc>
        <w:tc>
          <w:tcPr>
            <w:tcW w:w="1080" w:type="dxa"/>
            <w:tcBorders>
              <w:bottom w:val="single" w:sz="4" w:space="0" w:color="auto"/>
            </w:tcBorders>
            <w:shd w:val="pct20" w:color="auto" w:fill="FFFFFF"/>
          </w:tcPr>
          <w:p w:rsidR="000D0FC4" w:rsidRPr="00BC6390" w:rsidRDefault="000D0FC4" w:rsidP="00BC6390">
            <w:pPr>
              <w:rPr>
                <w:b/>
                <w:sz w:val="20"/>
              </w:rPr>
            </w:pPr>
            <w:r w:rsidRPr="00BC6390">
              <w:rPr>
                <w:b/>
                <w:sz w:val="20"/>
              </w:rPr>
              <w:t>Course</w:t>
            </w:r>
          </w:p>
          <w:p w:rsidR="000D0FC4" w:rsidRPr="00BC6390" w:rsidRDefault="000D0FC4" w:rsidP="00BC6390">
            <w:pPr>
              <w:rPr>
                <w:b/>
                <w:sz w:val="20"/>
              </w:rPr>
            </w:pPr>
            <w:r w:rsidRPr="00BC6390">
              <w:rPr>
                <w:b/>
                <w:sz w:val="20"/>
              </w:rPr>
              <w:t>Number</w:t>
            </w:r>
          </w:p>
        </w:tc>
        <w:tc>
          <w:tcPr>
            <w:tcW w:w="900" w:type="dxa"/>
            <w:tcBorders>
              <w:bottom w:val="single" w:sz="4" w:space="0" w:color="auto"/>
            </w:tcBorders>
            <w:shd w:val="pct20" w:color="auto" w:fill="FFFFFF"/>
          </w:tcPr>
          <w:p w:rsidR="000D0FC4" w:rsidRPr="00BC6390" w:rsidRDefault="000D0FC4" w:rsidP="00BC6390">
            <w:pPr>
              <w:rPr>
                <w:b/>
                <w:sz w:val="20"/>
              </w:rPr>
            </w:pPr>
            <w:r w:rsidRPr="00BC6390">
              <w:rPr>
                <w:b/>
                <w:sz w:val="20"/>
              </w:rPr>
              <w:t># of Credits</w:t>
            </w:r>
          </w:p>
        </w:tc>
        <w:tc>
          <w:tcPr>
            <w:tcW w:w="1350" w:type="dxa"/>
            <w:tcBorders>
              <w:bottom w:val="single" w:sz="4" w:space="0" w:color="auto"/>
            </w:tcBorders>
            <w:shd w:val="pct20" w:color="auto" w:fill="FFFFFF"/>
          </w:tcPr>
          <w:p w:rsidR="000D0FC4" w:rsidRPr="00BC6390" w:rsidRDefault="000D0FC4" w:rsidP="00BC6390">
            <w:pPr>
              <w:rPr>
                <w:b/>
                <w:sz w:val="20"/>
              </w:rPr>
            </w:pPr>
            <w:r w:rsidRPr="00BC6390">
              <w:rPr>
                <w:b/>
                <w:sz w:val="20"/>
              </w:rPr>
              <w:t xml:space="preserve">Course </w:t>
            </w:r>
          </w:p>
          <w:p w:rsidR="000D0FC4" w:rsidRPr="00BC6390" w:rsidRDefault="000D0FC4" w:rsidP="00BC6390">
            <w:pPr>
              <w:rPr>
                <w:b/>
                <w:sz w:val="20"/>
              </w:rPr>
            </w:pPr>
            <w:r w:rsidRPr="00BC6390">
              <w:rPr>
                <w:b/>
                <w:sz w:val="20"/>
              </w:rPr>
              <w:t>Title</w:t>
            </w:r>
          </w:p>
        </w:tc>
      </w:tr>
      <w:tr w:rsidR="000D0FC4" w:rsidRPr="00BC6390" w:rsidTr="000D0FC4">
        <w:trPr>
          <w:trHeight w:val="548"/>
          <w:jc w:val="center"/>
        </w:trPr>
        <w:tc>
          <w:tcPr>
            <w:tcW w:w="5215" w:type="dxa"/>
            <w:tcBorders>
              <w:bottom w:val="single" w:sz="4" w:space="0" w:color="auto"/>
            </w:tcBorders>
          </w:tcPr>
          <w:p w:rsidR="000D0FC4" w:rsidRPr="00BC6390" w:rsidRDefault="000D0FC4" w:rsidP="00BC6390">
            <w:r w:rsidRPr="00BC6390">
              <w:t xml:space="preserve">A conferred master’s degree or doctoral degree in Speech Language Pathology from an educational institution approved by the American Speech Language-Hearing Association (ASHA) </w:t>
            </w:r>
          </w:p>
        </w:tc>
        <w:tc>
          <w:tcPr>
            <w:tcW w:w="1800" w:type="dxa"/>
            <w:tcBorders>
              <w:bottom w:val="single" w:sz="4" w:space="0" w:color="auto"/>
            </w:tcBorders>
          </w:tcPr>
          <w:p w:rsidR="000D0FC4" w:rsidRPr="00BC6390" w:rsidRDefault="000D0FC4" w:rsidP="00BC6390">
            <w:pPr>
              <w:rPr>
                <w:b/>
              </w:rPr>
            </w:pPr>
          </w:p>
        </w:tc>
        <w:tc>
          <w:tcPr>
            <w:tcW w:w="1080" w:type="dxa"/>
            <w:tcBorders>
              <w:bottom w:val="single" w:sz="4" w:space="0" w:color="auto"/>
            </w:tcBorders>
          </w:tcPr>
          <w:p w:rsidR="000D0FC4" w:rsidRPr="00BC6390" w:rsidRDefault="000D0FC4" w:rsidP="00BC6390">
            <w:pPr>
              <w:rPr>
                <w:b/>
              </w:rPr>
            </w:pPr>
            <w:r w:rsidRPr="00BC6390">
              <w:rPr>
                <w:b/>
              </w:rPr>
              <w:t>N/A</w:t>
            </w:r>
          </w:p>
        </w:tc>
        <w:tc>
          <w:tcPr>
            <w:tcW w:w="900" w:type="dxa"/>
            <w:tcBorders>
              <w:bottom w:val="single" w:sz="4" w:space="0" w:color="auto"/>
            </w:tcBorders>
          </w:tcPr>
          <w:p w:rsidR="000D0FC4" w:rsidRPr="00BC6390" w:rsidRDefault="000D0FC4" w:rsidP="00BC6390">
            <w:pPr>
              <w:rPr>
                <w:b/>
              </w:rPr>
            </w:pPr>
          </w:p>
        </w:tc>
        <w:tc>
          <w:tcPr>
            <w:tcW w:w="1350" w:type="dxa"/>
            <w:tcBorders>
              <w:bottom w:val="single" w:sz="4" w:space="0" w:color="auto"/>
            </w:tcBorders>
          </w:tcPr>
          <w:p w:rsidR="000D0FC4" w:rsidRPr="00BC6390" w:rsidRDefault="000D0FC4" w:rsidP="00BC6390">
            <w:pPr>
              <w:rPr>
                <w:b/>
              </w:rPr>
            </w:pPr>
          </w:p>
        </w:tc>
      </w:tr>
      <w:tr w:rsidR="000D0FC4" w:rsidRPr="00BC6390" w:rsidTr="000D0FC4">
        <w:trPr>
          <w:trHeight w:val="548"/>
          <w:jc w:val="center"/>
        </w:trPr>
        <w:tc>
          <w:tcPr>
            <w:tcW w:w="5215" w:type="dxa"/>
            <w:tcBorders>
              <w:bottom w:val="single" w:sz="4" w:space="0" w:color="auto"/>
            </w:tcBorders>
          </w:tcPr>
          <w:p w:rsidR="000D0FC4" w:rsidRPr="00BC6390" w:rsidRDefault="000D0FC4" w:rsidP="00BC6390">
            <w:r w:rsidRPr="00BC6390">
              <w:t xml:space="preserve">A current Clinical license as a Speech Language Pathologist in the state of Vermont </w:t>
            </w:r>
            <w:r w:rsidRPr="00BC6390">
              <w:rPr>
                <w:b/>
              </w:rPr>
              <w:t>(Provide copy of current Clinical SLP License from Vermont Secretary of State’s Office)</w:t>
            </w:r>
          </w:p>
        </w:tc>
        <w:tc>
          <w:tcPr>
            <w:tcW w:w="1800" w:type="dxa"/>
            <w:tcBorders>
              <w:bottom w:val="single" w:sz="4" w:space="0" w:color="auto"/>
            </w:tcBorders>
          </w:tcPr>
          <w:p w:rsidR="000D0FC4" w:rsidRPr="00BC6390" w:rsidRDefault="000D0FC4" w:rsidP="00BC6390">
            <w:pPr>
              <w:rPr>
                <w:b/>
              </w:rPr>
            </w:pPr>
            <w:r w:rsidRPr="00BC6390">
              <w:rPr>
                <w:b/>
              </w:rPr>
              <w:t>N/A</w:t>
            </w:r>
          </w:p>
        </w:tc>
        <w:tc>
          <w:tcPr>
            <w:tcW w:w="1080" w:type="dxa"/>
            <w:tcBorders>
              <w:bottom w:val="single" w:sz="4" w:space="0" w:color="auto"/>
            </w:tcBorders>
          </w:tcPr>
          <w:p w:rsidR="000D0FC4" w:rsidRPr="00BC6390" w:rsidRDefault="000D0FC4" w:rsidP="00BC6390">
            <w:pPr>
              <w:rPr>
                <w:b/>
              </w:rPr>
            </w:pPr>
            <w:r w:rsidRPr="00BC6390">
              <w:rPr>
                <w:b/>
              </w:rPr>
              <w:t>N/A</w:t>
            </w:r>
          </w:p>
        </w:tc>
        <w:tc>
          <w:tcPr>
            <w:tcW w:w="900" w:type="dxa"/>
            <w:tcBorders>
              <w:bottom w:val="single" w:sz="4" w:space="0" w:color="auto"/>
            </w:tcBorders>
          </w:tcPr>
          <w:p w:rsidR="000D0FC4" w:rsidRPr="00BC6390" w:rsidRDefault="000D0FC4" w:rsidP="00BC6390">
            <w:pPr>
              <w:rPr>
                <w:b/>
              </w:rPr>
            </w:pPr>
            <w:r w:rsidRPr="00BC6390">
              <w:rPr>
                <w:b/>
              </w:rPr>
              <w:t>N/A</w:t>
            </w:r>
          </w:p>
        </w:tc>
        <w:tc>
          <w:tcPr>
            <w:tcW w:w="1350" w:type="dxa"/>
            <w:tcBorders>
              <w:bottom w:val="single" w:sz="4" w:space="0" w:color="auto"/>
            </w:tcBorders>
          </w:tcPr>
          <w:p w:rsidR="000D0FC4" w:rsidRPr="00BC6390" w:rsidRDefault="000D0FC4" w:rsidP="00BC6390">
            <w:pPr>
              <w:rPr>
                <w:b/>
              </w:rPr>
            </w:pPr>
            <w:r w:rsidRPr="00BC6390">
              <w:rPr>
                <w:b/>
              </w:rPr>
              <w:t>N/A</w:t>
            </w:r>
          </w:p>
        </w:tc>
      </w:tr>
      <w:tr w:rsidR="000D0FC4" w:rsidRPr="00BC6390" w:rsidTr="000D0FC4">
        <w:trPr>
          <w:trHeight w:val="431"/>
          <w:jc w:val="center"/>
        </w:trPr>
        <w:tc>
          <w:tcPr>
            <w:tcW w:w="5215" w:type="dxa"/>
            <w:tcBorders>
              <w:bottom w:val="single" w:sz="4" w:space="0" w:color="auto"/>
            </w:tcBorders>
            <w:shd w:val="clear" w:color="auto" w:fill="D9D9D9" w:themeFill="background1" w:themeFillShade="D9"/>
          </w:tcPr>
          <w:p w:rsidR="000D0FC4" w:rsidRPr="00BC6390" w:rsidRDefault="000D0FC4" w:rsidP="00BC6390">
            <w:pPr>
              <w:rPr>
                <w:b/>
              </w:rPr>
            </w:pPr>
            <w:r w:rsidRPr="00BC6390">
              <w:rPr>
                <w:b/>
              </w:rPr>
              <w:t>Knowledge Standards</w:t>
            </w:r>
          </w:p>
        </w:tc>
        <w:tc>
          <w:tcPr>
            <w:tcW w:w="1800" w:type="dxa"/>
            <w:tcBorders>
              <w:bottom w:val="single" w:sz="4" w:space="0" w:color="auto"/>
            </w:tcBorders>
            <w:shd w:val="clear" w:color="auto" w:fill="D9D9D9" w:themeFill="background1" w:themeFillShade="D9"/>
          </w:tcPr>
          <w:p w:rsidR="000D0FC4" w:rsidRPr="00BC6390" w:rsidRDefault="000D0FC4" w:rsidP="00BC6390">
            <w:pPr>
              <w:rPr>
                <w:b/>
              </w:rPr>
            </w:pPr>
          </w:p>
        </w:tc>
        <w:tc>
          <w:tcPr>
            <w:tcW w:w="1080" w:type="dxa"/>
            <w:tcBorders>
              <w:bottom w:val="single" w:sz="4" w:space="0" w:color="auto"/>
            </w:tcBorders>
            <w:shd w:val="clear" w:color="auto" w:fill="D9D9D9" w:themeFill="background1" w:themeFillShade="D9"/>
          </w:tcPr>
          <w:p w:rsidR="000D0FC4" w:rsidRPr="00BC6390" w:rsidRDefault="000D0FC4" w:rsidP="00BC6390">
            <w:pPr>
              <w:rPr>
                <w:b/>
              </w:rPr>
            </w:pPr>
          </w:p>
        </w:tc>
        <w:tc>
          <w:tcPr>
            <w:tcW w:w="900" w:type="dxa"/>
            <w:tcBorders>
              <w:bottom w:val="single" w:sz="4" w:space="0" w:color="auto"/>
            </w:tcBorders>
            <w:shd w:val="clear" w:color="auto" w:fill="D9D9D9" w:themeFill="background1" w:themeFillShade="D9"/>
          </w:tcPr>
          <w:p w:rsidR="000D0FC4" w:rsidRPr="00BC6390" w:rsidRDefault="000D0FC4" w:rsidP="00BC6390">
            <w:pPr>
              <w:rPr>
                <w:b/>
              </w:rPr>
            </w:pPr>
          </w:p>
        </w:tc>
        <w:tc>
          <w:tcPr>
            <w:tcW w:w="1350" w:type="dxa"/>
            <w:tcBorders>
              <w:bottom w:val="single" w:sz="4" w:space="0" w:color="auto"/>
            </w:tcBorders>
            <w:shd w:val="clear" w:color="auto" w:fill="D9D9D9" w:themeFill="background1" w:themeFillShade="D9"/>
          </w:tcPr>
          <w:p w:rsidR="000D0FC4" w:rsidRPr="00BC6390" w:rsidRDefault="000D0FC4" w:rsidP="00BC6390">
            <w:pPr>
              <w:rPr>
                <w:b/>
              </w:rPr>
            </w:pPr>
          </w:p>
        </w:tc>
      </w:tr>
      <w:tr w:rsidR="000D0FC4" w:rsidRPr="00BC6390" w:rsidTr="000D0FC4">
        <w:trPr>
          <w:trHeight w:val="548"/>
          <w:jc w:val="center"/>
        </w:trPr>
        <w:tc>
          <w:tcPr>
            <w:tcW w:w="5215" w:type="dxa"/>
            <w:tcBorders>
              <w:bottom w:val="single" w:sz="4" w:space="0" w:color="auto"/>
            </w:tcBorders>
          </w:tcPr>
          <w:p w:rsidR="000D0FC4" w:rsidRPr="00BC6390" w:rsidRDefault="000D0FC4" w:rsidP="00BC6390">
            <w:pPr>
              <w:rPr>
                <w:b/>
              </w:rPr>
            </w:pPr>
            <w:r w:rsidRPr="00BC6390">
              <w:rPr>
                <w:b/>
              </w:rPr>
              <w:t>Special Education Law:</w:t>
            </w:r>
          </w:p>
          <w:p w:rsidR="000D0FC4" w:rsidRPr="00BC6390" w:rsidRDefault="000D0FC4" w:rsidP="00BC6390">
            <w:r w:rsidRPr="00BC6390">
              <w:t xml:space="preserve">Current state and federal laws, regulations, and procedures governing the referral, identification, evaluation, eligibility determination, educational </w:t>
            </w:r>
            <w:r w:rsidRPr="00BC6390">
              <w:lastRenderedPageBreak/>
              <w:t>placement and accommodation of individuals with communication delays and disorders</w:t>
            </w:r>
          </w:p>
        </w:tc>
        <w:tc>
          <w:tcPr>
            <w:tcW w:w="1800" w:type="dxa"/>
            <w:tcBorders>
              <w:bottom w:val="single" w:sz="4" w:space="0" w:color="auto"/>
            </w:tcBorders>
          </w:tcPr>
          <w:p w:rsidR="000D0FC4" w:rsidRPr="00BC6390" w:rsidRDefault="000D0FC4" w:rsidP="00BC6390">
            <w:pPr>
              <w:rPr>
                <w:b/>
              </w:rPr>
            </w:pPr>
          </w:p>
        </w:tc>
        <w:tc>
          <w:tcPr>
            <w:tcW w:w="1080" w:type="dxa"/>
            <w:tcBorders>
              <w:bottom w:val="single" w:sz="4" w:space="0" w:color="auto"/>
            </w:tcBorders>
          </w:tcPr>
          <w:p w:rsidR="000D0FC4" w:rsidRPr="00BC6390" w:rsidRDefault="000D0FC4" w:rsidP="00BC6390">
            <w:pPr>
              <w:rPr>
                <w:b/>
              </w:rPr>
            </w:pPr>
          </w:p>
        </w:tc>
        <w:tc>
          <w:tcPr>
            <w:tcW w:w="900" w:type="dxa"/>
            <w:tcBorders>
              <w:bottom w:val="single" w:sz="4" w:space="0" w:color="auto"/>
            </w:tcBorders>
          </w:tcPr>
          <w:p w:rsidR="000D0FC4" w:rsidRPr="00BC6390" w:rsidRDefault="000D0FC4" w:rsidP="00BC6390">
            <w:pPr>
              <w:rPr>
                <w:b/>
              </w:rPr>
            </w:pPr>
          </w:p>
        </w:tc>
        <w:tc>
          <w:tcPr>
            <w:tcW w:w="1350" w:type="dxa"/>
            <w:tcBorders>
              <w:bottom w:val="single" w:sz="4" w:space="0" w:color="auto"/>
            </w:tcBorders>
          </w:tcPr>
          <w:p w:rsidR="000D0FC4" w:rsidRPr="00BC6390" w:rsidRDefault="000D0FC4" w:rsidP="00BC6390">
            <w:pPr>
              <w:rPr>
                <w:b/>
              </w:rPr>
            </w:pPr>
          </w:p>
        </w:tc>
      </w:tr>
      <w:tr w:rsidR="000D0FC4" w:rsidRPr="00BC6390" w:rsidTr="000D0FC4">
        <w:trPr>
          <w:trHeight w:val="872"/>
          <w:jc w:val="center"/>
        </w:trPr>
        <w:tc>
          <w:tcPr>
            <w:tcW w:w="5215" w:type="dxa"/>
            <w:tcBorders>
              <w:bottom w:val="single" w:sz="4" w:space="0" w:color="auto"/>
            </w:tcBorders>
          </w:tcPr>
          <w:p w:rsidR="000D0FC4" w:rsidRPr="00BC6390" w:rsidRDefault="000D0FC4" w:rsidP="00BC6390">
            <w:pPr>
              <w:rPr>
                <w:b/>
              </w:rPr>
            </w:pPr>
            <w:r w:rsidRPr="00BC6390">
              <w:rPr>
                <w:b/>
              </w:rPr>
              <w:t xml:space="preserve">The relationship of language and literacy and role of school based SLP: </w:t>
            </w:r>
            <w:r w:rsidRPr="00BC6390">
              <w:t>The impact of receptive or expressive language delays or disorders (including hearing loss or auditory processing disorder) on the acquisition of literacy</w:t>
            </w:r>
          </w:p>
        </w:tc>
        <w:tc>
          <w:tcPr>
            <w:tcW w:w="1800" w:type="dxa"/>
            <w:tcBorders>
              <w:bottom w:val="single" w:sz="4" w:space="0" w:color="auto"/>
            </w:tcBorders>
          </w:tcPr>
          <w:p w:rsidR="000D0FC4" w:rsidRPr="00BC6390" w:rsidRDefault="000D0FC4" w:rsidP="00BC6390">
            <w:pPr>
              <w:rPr>
                <w:b/>
              </w:rPr>
            </w:pPr>
          </w:p>
        </w:tc>
        <w:tc>
          <w:tcPr>
            <w:tcW w:w="1080" w:type="dxa"/>
            <w:tcBorders>
              <w:bottom w:val="single" w:sz="4" w:space="0" w:color="auto"/>
            </w:tcBorders>
          </w:tcPr>
          <w:p w:rsidR="000D0FC4" w:rsidRPr="00BC6390" w:rsidRDefault="000D0FC4" w:rsidP="00BC6390">
            <w:pPr>
              <w:rPr>
                <w:b/>
              </w:rPr>
            </w:pPr>
          </w:p>
        </w:tc>
        <w:tc>
          <w:tcPr>
            <w:tcW w:w="900" w:type="dxa"/>
            <w:tcBorders>
              <w:bottom w:val="single" w:sz="4" w:space="0" w:color="auto"/>
            </w:tcBorders>
          </w:tcPr>
          <w:p w:rsidR="000D0FC4" w:rsidRPr="00BC6390" w:rsidRDefault="000D0FC4" w:rsidP="00BC6390">
            <w:pPr>
              <w:rPr>
                <w:b/>
              </w:rPr>
            </w:pPr>
          </w:p>
        </w:tc>
        <w:tc>
          <w:tcPr>
            <w:tcW w:w="1350" w:type="dxa"/>
            <w:tcBorders>
              <w:bottom w:val="single" w:sz="4" w:space="0" w:color="auto"/>
            </w:tcBorders>
          </w:tcPr>
          <w:p w:rsidR="000D0FC4" w:rsidRPr="00BC6390" w:rsidRDefault="000D0FC4" w:rsidP="00BC6390">
            <w:pPr>
              <w:rPr>
                <w:b/>
              </w:rPr>
            </w:pPr>
          </w:p>
        </w:tc>
      </w:tr>
      <w:tr w:rsidR="000D0FC4" w:rsidRPr="00BC6390" w:rsidTr="000D0FC4">
        <w:trPr>
          <w:trHeight w:val="872"/>
          <w:jc w:val="center"/>
        </w:trPr>
        <w:tc>
          <w:tcPr>
            <w:tcW w:w="5215" w:type="dxa"/>
            <w:tcBorders>
              <w:bottom w:val="single" w:sz="4" w:space="0" w:color="auto"/>
            </w:tcBorders>
          </w:tcPr>
          <w:p w:rsidR="000D0FC4" w:rsidRPr="00BC6390" w:rsidRDefault="000D0FC4" w:rsidP="00BC6390">
            <w:pPr>
              <w:rPr>
                <w:b/>
              </w:rPr>
            </w:pPr>
            <w:r w:rsidRPr="00BC6390">
              <w:rPr>
                <w:b/>
              </w:rPr>
              <w:t xml:space="preserve">The relationship of language and literacy and role of school based SLP: </w:t>
            </w:r>
            <w:r w:rsidRPr="00BC6390">
              <w:t>The impact of communication delays and disorders on development across the domains and on the results of other forms of assessment (e.g., psychosocial, cognitive, or vocational)</w:t>
            </w:r>
          </w:p>
        </w:tc>
        <w:tc>
          <w:tcPr>
            <w:tcW w:w="1800" w:type="dxa"/>
            <w:tcBorders>
              <w:bottom w:val="single" w:sz="4" w:space="0" w:color="auto"/>
            </w:tcBorders>
          </w:tcPr>
          <w:p w:rsidR="000D0FC4" w:rsidRPr="00BC6390" w:rsidRDefault="000D0FC4" w:rsidP="00BC6390">
            <w:pPr>
              <w:rPr>
                <w:b/>
              </w:rPr>
            </w:pPr>
          </w:p>
        </w:tc>
        <w:tc>
          <w:tcPr>
            <w:tcW w:w="1080" w:type="dxa"/>
            <w:tcBorders>
              <w:bottom w:val="single" w:sz="4" w:space="0" w:color="auto"/>
            </w:tcBorders>
          </w:tcPr>
          <w:p w:rsidR="000D0FC4" w:rsidRPr="00BC6390" w:rsidRDefault="000D0FC4" w:rsidP="00BC6390">
            <w:pPr>
              <w:rPr>
                <w:b/>
              </w:rPr>
            </w:pPr>
          </w:p>
        </w:tc>
        <w:tc>
          <w:tcPr>
            <w:tcW w:w="900" w:type="dxa"/>
            <w:tcBorders>
              <w:bottom w:val="single" w:sz="4" w:space="0" w:color="auto"/>
            </w:tcBorders>
          </w:tcPr>
          <w:p w:rsidR="000D0FC4" w:rsidRPr="00BC6390" w:rsidRDefault="000D0FC4" w:rsidP="00BC6390">
            <w:pPr>
              <w:rPr>
                <w:b/>
              </w:rPr>
            </w:pPr>
          </w:p>
        </w:tc>
        <w:tc>
          <w:tcPr>
            <w:tcW w:w="1350" w:type="dxa"/>
            <w:tcBorders>
              <w:bottom w:val="single" w:sz="4" w:space="0" w:color="auto"/>
            </w:tcBorders>
          </w:tcPr>
          <w:p w:rsidR="000D0FC4" w:rsidRPr="00BC6390" w:rsidRDefault="000D0FC4" w:rsidP="00BC6390">
            <w:pPr>
              <w:rPr>
                <w:b/>
              </w:rPr>
            </w:pPr>
          </w:p>
        </w:tc>
      </w:tr>
      <w:tr w:rsidR="000D0FC4" w:rsidRPr="00BC6390" w:rsidTr="000D0FC4">
        <w:trPr>
          <w:trHeight w:val="1610"/>
          <w:jc w:val="center"/>
        </w:trPr>
        <w:tc>
          <w:tcPr>
            <w:tcW w:w="5215" w:type="dxa"/>
          </w:tcPr>
          <w:p w:rsidR="000D0FC4" w:rsidRPr="00BC6390" w:rsidRDefault="000D0FC4" w:rsidP="00BC6390">
            <w:pPr>
              <w:rPr>
                <w:b/>
              </w:rPr>
            </w:pPr>
            <w:r w:rsidRPr="00BC6390">
              <w:rPr>
                <w:b/>
              </w:rPr>
              <w:t xml:space="preserve">The relationship of language and literacy and role of school based SLP: </w:t>
            </w:r>
            <w:r w:rsidRPr="00BC6390">
              <w:t>Teaching strategies and accommodations which support the learning of individuals with communication delays and disorders, including instructional methodologies and augmentative or alternative communication systems that support language development and/or communication in all modalities</w:t>
            </w:r>
          </w:p>
        </w:tc>
        <w:tc>
          <w:tcPr>
            <w:tcW w:w="1800" w:type="dxa"/>
          </w:tcPr>
          <w:p w:rsidR="000D0FC4" w:rsidRPr="00BC6390" w:rsidRDefault="000D0FC4" w:rsidP="00BC6390">
            <w:pPr>
              <w:rPr>
                <w:b/>
              </w:rPr>
            </w:pPr>
          </w:p>
        </w:tc>
        <w:tc>
          <w:tcPr>
            <w:tcW w:w="1080" w:type="dxa"/>
          </w:tcPr>
          <w:p w:rsidR="000D0FC4" w:rsidRPr="00BC6390" w:rsidRDefault="000D0FC4" w:rsidP="00BC6390">
            <w:pPr>
              <w:rPr>
                <w:b/>
              </w:rPr>
            </w:pPr>
          </w:p>
        </w:tc>
        <w:tc>
          <w:tcPr>
            <w:tcW w:w="900" w:type="dxa"/>
          </w:tcPr>
          <w:p w:rsidR="000D0FC4" w:rsidRPr="00BC6390" w:rsidRDefault="000D0FC4" w:rsidP="00BC6390">
            <w:pPr>
              <w:rPr>
                <w:b/>
              </w:rPr>
            </w:pPr>
          </w:p>
        </w:tc>
        <w:tc>
          <w:tcPr>
            <w:tcW w:w="1350" w:type="dxa"/>
          </w:tcPr>
          <w:p w:rsidR="000D0FC4" w:rsidRPr="00BC6390" w:rsidRDefault="000D0FC4" w:rsidP="00BC6390">
            <w:pPr>
              <w:rPr>
                <w:b/>
              </w:rPr>
            </w:pPr>
          </w:p>
        </w:tc>
      </w:tr>
      <w:tr w:rsidR="000D0FC4" w:rsidRPr="00BC6390" w:rsidTr="000D0FC4">
        <w:trPr>
          <w:trHeight w:val="413"/>
          <w:jc w:val="center"/>
        </w:trPr>
        <w:tc>
          <w:tcPr>
            <w:tcW w:w="5215" w:type="dxa"/>
            <w:shd w:val="clear" w:color="auto" w:fill="D9D9D9" w:themeFill="background1" w:themeFillShade="D9"/>
          </w:tcPr>
          <w:p w:rsidR="000D0FC4" w:rsidRPr="00BC6390" w:rsidRDefault="000D0FC4" w:rsidP="00BC6390">
            <w:pPr>
              <w:rPr>
                <w:b/>
              </w:rPr>
            </w:pPr>
            <w:r w:rsidRPr="00BC6390">
              <w:rPr>
                <w:b/>
              </w:rPr>
              <w:t>Performance Standards</w:t>
            </w:r>
          </w:p>
        </w:tc>
        <w:tc>
          <w:tcPr>
            <w:tcW w:w="1800" w:type="dxa"/>
            <w:shd w:val="clear" w:color="auto" w:fill="D9D9D9" w:themeFill="background1" w:themeFillShade="D9"/>
          </w:tcPr>
          <w:p w:rsidR="000D0FC4" w:rsidRPr="00BC6390" w:rsidRDefault="000D0FC4" w:rsidP="00BC6390">
            <w:pPr>
              <w:rPr>
                <w:b/>
              </w:rPr>
            </w:pPr>
          </w:p>
        </w:tc>
        <w:tc>
          <w:tcPr>
            <w:tcW w:w="1080" w:type="dxa"/>
            <w:shd w:val="clear" w:color="auto" w:fill="D9D9D9" w:themeFill="background1" w:themeFillShade="D9"/>
          </w:tcPr>
          <w:p w:rsidR="000D0FC4" w:rsidRPr="00BC6390" w:rsidRDefault="000D0FC4" w:rsidP="00BC6390">
            <w:pPr>
              <w:rPr>
                <w:b/>
              </w:rPr>
            </w:pPr>
          </w:p>
        </w:tc>
        <w:tc>
          <w:tcPr>
            <w:tcW w:w="900" w:type="dxa"/>
            <w:shd w:val="clear" w:color="auto" w:fill="D9D9D9" w:themeFill="background1" w:themeFillShade="D9"/>
          </w:tcPr>
          <w:p w:rsidR="000D0FC4" w:rsidRPr="00BC6390" w:rsidRDefault="000D0FC4" w:rsidP="00BC6390">
            <w:pPr>
              <w:rPr>
                <w:b/>
              </w:rPr>
            </w:pPr>
          </w:p>
        </w:tc>
        <w:tc>
          <w:tcPr>
            <w:tcW w:w="1350" w:type="dxa"/>
            <w:shd w:val="clear" w:color="auto" w:fill="D9D9D9" w:themeFill="background1" w:themeFillShade="D9"/>
          </w:tcPr>
          <w:p w:rsidR="000D0FC4" w:rsidRPr="00BC6390" w:rsidRDefault="000D0FC4" w:rsidP="00BC6390">
            <w:pPr>
              <w:rPr>
                <w:b/>
              </w:rPr>
            </w:pPr>
          </w:p>
        </w:tc>
      </w:tr>
      <w:tr w:rsidR="000D0FC4" w:rsidRPr="00BC6390" w:rsidTr="000D0FC4">
        <w:trPr>
          <w:trHeight w:val="413"/>
          <w:jc w:val="center"/>
        </w:trPr>
        <w:tc>
          <w:tcPr>
            <w:tcW w:w="5215" w:type="dxa"/>
            <w:shd w:val="clear" w:color="auto" w:fill="FFFFFF" w:themeFill="background1"/>
          </w:tcPr>
          <w:p w:rsidR="000D0FC4" w:rsidRPr="00BC6390" w:rsidRDefault="000D0FC4" w:rsidP="00BC6390">
            <w:r w:rsidRPr="00BC6390">
              <w:t>Applies appropriate screening and assessment measures to identify individuals with communication delays and disorders who are eligible for special services under federal and state regulations, using appropriate technologies as needed</w:t>
            </w:r>
          </w:p>
        </w:tc>
        <w:tc>
          <w:tcPr>
            <w:tcW w:w="1800" w:type="dxa"/>
            <w:shd w:val="clear" w:color="auto" w:fill="FFFFFF" w:themeFill="background1"/>
          </w:tcPr>
          <w:p w:rsidR="000D0FC4" w:rsidRPr="00BC6390" w:rsidRDefault="000D0FC4" w:rsidP="00BC6390">
            <w:pPr>
              <w:rPr>
                <w:b/>
              </w:rPr>
            </w:pPr>
          </w:p>
        </w:tc>
        <w:tc>
          <w:tcPr>
            <w:tcW w:w="1080" w:type="dxa"/>
            <w:shd w:val="clear" w:color="auto" w:fill="FFFFFF" w:themeFill="background1"/>
          </w:tcPr>
          <w:p w:rsidR="000D0FC4" w:rsidRPr="00BC6390" w:rsidRDefault="000D0FC4" w:rsidP="00BC6390">
            <w:pPr>
              <w:rPr>
                <w:b/>
              </w:rPr>
            </w:pPr>
          </w:p>
        </w:tc>
        <w:tc>
          <w:tcPr>
            <w:tcW w:w="900" w:type="dxa"/>
            <w:shd w:val="clear" w:color="auto" w:fill="FFFFFF" w:themeFill="background1"/>
          </w:tcPr>
          <w:p w:rsidR="000D0FC4" w:rsidRPr="00BC6390" w:rsidRDefault="000D0FC4" w:rsidP="00BC6390">
            <w:pPr>
              <w:rPr>
                <w:b/>
              </w:rPr>
            </w:pPr>
          </w:p>
        </w:tc>
        <w:tc>
          <w:tcPr>
            <w:tcW w:w="1350" w:type="dxa"/>
            <w:shd w:val="clear" w:color="auto" w:fill="FFFFFF" w:themeFill="background1"/>
          </w:tcPr>
          <w:p w:rsidR="000D0FC4" w:rsidRPr="00BC6390" w:rsidRDefault="000D0FC4" w:rsidP="00BC6390">
            <w:pPr>
              <w:rPr>
                <w:b/>
              </w:rPr>
            </w:pPr>
          </w:p>
        </w:tc>
      </w:tr>
      <w:tr w:rsidR="000D0FC4" w:rsidRPr="00BC6390" w:rsidTr="000D0FC4">
        <w:trPr>
          <w:trHeight w:val="413"/>
          <w:jc w:val="center"/>
        </w:trPr>
        <w:tc>
          <w:tcPr>
            <w:tcW w:w="5215" w:type="dxa"/>
            <w:shd w:val="clear" w:color="auto" w:fill="FFFFFF" w:themeFill="background1"/>
          </w:tcPr>
          <w:p w:rsidR="000D0FC4" w:rsidRPr="00BC6390" w:rsidRDefault="000D0FC4" w:rsidP="00BC6390">
            <w:r w:rsidRPr="00BC6390">
              <w:t>Works collaboratively with teachers, parents/caregivers, and other professional personnel to design and implement, or supervise the implementation of, developmentally appropriate educational plans for individuals with communication delays and disorders, including directly teaching, or supervising the teaching of, the communication skills essential to literacy development</w:t>
            </w:r>
          </w:p>
        </w:tc>
        <w:tc>
          <w:tcPr>
            <w:tcW w:w="1800" w:type="dxa"/>
            <w:shd w:val="clear" w:color="auto" w:fill="FFFFFF" w:themeFill="background1"/>
          </w:tcPr>
          <w:p w:rsidR="000D0FC4" w:rsidRPr="00BC6390" w:rsidRDefault="000D0FC4" w:rsidP="00BC6390">
            <w:pPr>
              <w:rPr>
                <w:b/>
              </w:rPr>
            </w:pPr>
          </w:p>
        </w:tc>
        <w:tc>
          <w:tcPr>
            <w:tcW w:w="1080" w:type="dxa"/>
            <w:shd w:val="clear" w:color="auto" w:fill="FFFFFF" w:themeFill="background1"/>
          </w:tcPr>
          <w:p w:rsidR="000D0FC4" w:rsidRPr="00BC6390" w:rsidRDefault="000D0FC4" w:rsidP="00BC6390">
            <w:pPr>
              <w:rPr>
                <w:b/>
              </w:rPr>
            </w:pPr>
          </w:p>
        </w:tc>
        <w:tc>
          <w:tcPr>
            <w:tcW w:w="900" w:type="dxa"/>
            <w:shd w:val="clear" w:color="auto" w:fill="FFFFFF" w:themeFill="background1"/>
          </w:tcPr>
          <w:p w:rsidR="000D0FC4" w:rsidRPr="00BC6390" w:rsidRDefault="000D0FC4" w:rsidP="00BC6390">
            <w:pPr>
              <w:rPr>
                <w:b/>
              </w:rPr>
            </w:pPr>
          </w:p>
        </w:tc>
        <w:tc>
          <w:tcPr>
            <w:tcW w:w="1350" w:type="dxa"/>
            <w:shd w:val="clear" w:color="auto" w:fill="FFFFFF" w:themeFill="background1"/>
          </w:tcPr>
          <w:p w:rsidR="000D0FC4" w:rsidRPr="00BC6390" w:rsidRDefault="000D0FC4" w:rsidP="00BC6390">
            <w:pPr>
              <w:rPr>
                <w:b/>
              </w:rPr>
            </w:pPr>
          </w:p>
        </w:tc>
      </w:tr>
      <w:tr w:rsidR="000D0FC4" w:rsidRPr="00BC6390" w:rsidTr="000D0FC4">
        <w:trPr>
          <w:trHeight w:val="413"/>
          <w:jc w:val="center"/>
        </w:trPr>
        <w:tc>
          <w:tcPr>
            <w:tcW w:w="5215" w:type="dxa"/>
            <w:shd w:val="clear" w:color="auto" w:fill="FFFFFF" w:themeFill="background1"/>
          </w:tcPr>
          <w:p w:rsidR="000D0FC4" w:rsidRPr="00BC6390" w:rsidRDefault="000D0FC4" w:rsidP="00BC6390">
            <w:r w:rsidRPr="00BC6390">
              <w:t xml:space="preserve">Evaluates individuals' communication status and/or progress in relation to their educational </w:t>
            </w:r>
            <w:r w:rsidRPr="00BC6390">
              <w:lastRenderedPageBreak/>
              <w:t>plan goals and communicates information about their needs and progress clearly and effectively to parents and other school personnel, both orally and in writing</w:t>
            </w:r>
          </w:p>
        </w:tc>
        <w:tc>
          <w:tcPr>
            <w:tcW w:w="1800" w:type="dxa"/>
            <w:shd w:val="clear" w:color="auto" w:fill="FFFFFF" w:themeFill="background1"/>
          </w:tcPr>
          <w:p w:rsidR="000D0FC4" w:rsidRPr="00BC6390" w:rsidRDefault="000D0FC4" w:rsidP="00BC6390">
            <w:pPr>
              <w:rPr>
                <w:b/>
              </w:rPr>
            </w:pPr>
          </w:p>
        </w:tc>
        <w:tc>
          <w:tcPr>
            <w:tcW w:w="1080" w:type="dxa"/>
            <w:shd w:val="clear" w:color="auto" w:fill="FFFFFF" w:themeFill="background1"/>
          </w:tcPr>
          <w:p w:rsidR="000D0FC4" w:rsidRPr="00BC6390" w:rsidRDefault="000D0FC4" w:rsidP="00BC6390">
            <w:pPr>
              <w:rPr>
                <w:b/>
              </w:rPr>
            </w:pPr>
          </w:p>
        </w:tc>
        <w:tc>
          <w:tcPr>
            <w:tcW w:w="900" w:type="dxa"/>
            <w:shd w:val="clear" w:color="auto" w:fill="FFFFFF" w:themeFill="background1"/>
          </w:tcPr>
          <w:p w:rsidR="000D0FC4" w:rsidRPr="00BC6390" w:rsidRDefault="000D0FC4" w:rsidP="00BC6390">
            <w:pPr>
              <w:rPr>
                <w:b/>
              </w:rPr>
            </w:pPr>
          </w:p>
        </w:tc>
        <w:tc>
          <w:tcPr>
            <w:tcW w:w="1350" w:type="dxa"/>
            <w:shd w:val="clear" w:color="auto" w:fill="FFFFFF" w:themeFill="background1"/>
          </w:tcPr>
          <w:p w:rsidR="000D0FC4" w:rsidRPr="00BC6390" w:rsidRDefault="000D0FC4" w:rsidP="00BC6390">
            <w:pPr>
              <w:rPr>
                <w:b/>
              </w:rPr>
            </w:pPr>
          </w:p>
        </w:tc>
      </w:tr>
      <w:tr w:rsidR="000D0FC4" w:rsidRPr="00BC6390" w:rsidTr="000D0FC4">
        <w:trPr>
          <w:trHeight w:val="413"/>
          <w:jc w:val="center"/>
        </w:trPr>
        <w:tc>
          <w:tcPr>
            <w:tcW w:w="5215" w:type="dxa"/>
            <w:shd w:val="clear" w:color="auto" w:fill="FFFFFF" w:themeFill="background1"/>
          </w:tcPr>
          <w:p w:rsidR="000D0FC4" w:rsidRPr="00BC6390" w:rsidRDefault="000D0FC4" w:rsidP="00BC6390">
            <w:r w:rsidRPr="00BC6390">
              <w:t>Acts as a case manager to ensure coordinated services for individuals with communication delays and disorders who are eligible for special services</w:t>
            </w:r>
          </w:p>
        </w:tc>
        <w:tc>
          <w:tcPr>
            <w:tcW w:w="1800" w:type="dxa"/>
            <w:shd w:val="clear" w:color="auto" w:fill="FFFFFF" w:themeFill="background1"/>
          </w:tcPr>
          <w:p w:rsidR="000D0FC4" w:rsidRPr="00BC6390" w:rsidRDefault="000D0FC4" w:rsidP="00BC6390">
            <w:pPr>
              <w:rPr>
                <w:b/>
              </w:rPr>
            </w:pPr>
          </w:p>
        </w:tc>
        <w:tc>
          <w:tcPr>
            <w:tcW w:w="1080" w:type="dxa"/>
            <w:shd w:val="clear" w:color="auto" w:fill="FFFFFF" w:themeFill="background1"/>
          </w:tcPr>
          <w:p w:rsidR="000D0FC4" w:rsidRPr="00BC6390" w:rsidRDefault="000D0FC4" w:rsidP="00BC6390">
            <w:pPr>
              <w:rPr>
                <w:b/>
              </w:rPr>
            </w:pPr>
          </w:p>
        </w:tc>
        <w:tc>
          <w:tcPr>
            <w:tcW w:w="900" w:type="dxa"/>
            <w:shd w:val="clear" w:color="auto" w:fill="FFFFFF" w:themeFill="background1"/>
          </w:tcPr>
          <w:p w:rsidR="000D0FC4" w:rsidRPr="00BC6390" w:rsidRDefault="000D0FC4" w:rsidP="00BC6390">
            <w:pPr>
              <w:rPr>
                <w:b/>
              </w:rPr>
            </w:pPr>
          </w:p>
        </w:tc>
        <w:tc>
          <w:tcPr>
            <w:tcW w:w="1350" w:type="dxa"/>
            <w:shd w:val="clear" w:color="auto" w:fill="FFFFFF" w:themeFill="background1"/>
          </w:tcPr>
          <w:p w:rsidR="000D0FC4" w:rsidRPr="00BC6390" w:rsidRDefault="000D0FC4" w:rsidP="00BC6390">
            <w:pPr>
              <w:rPr>
                <w:b/>
              </w:rPr>
            </w:pPr>
          </w:p>
        </w:tc>
      </w:tr>
      <w:tr w:rsidR="000D0FC4" w:rsidRPr="00BC6390" w:rsidTr="000D0FC4">
        <w:trPr>
          <w:trHeight w:val="413"/>
          <w:jc w:val="center"/>
        </w:trPr>
        <w:tc>
          <w:tcPr>
            <w:tcW w:w="5215" w:type="dxa"/>
            <w:shd w:val="clear" w:color="auto" w:fill="FFFFFF" w:themeFill="background1"/>
          </w:tcPr>
          <w:p w:rsidR="000D0FC4" w:rsidRPr="00BC6390" w:rsidRDefault="000D0FC4" w:rsidP="00BC6390">
            <w:r w:rsidRPr="00BC6390">
              <w:t>Assists classroom teachers in accommodating individuals with communication delays and disorders within the regular classroom by identifying or developing educational materials or curricula, aspects of the classroom environment, teaching techniques, and/or classroom management techniques which support the educational and therapeutic needs of individuals with communication delays and disorders</w:t>
            </w:r>
          </w:p>
        </w:tc>
        <w:tc>
          <w:tcPr>
            <w:tcW w:w="1800" w:type="dxa"/>
            <w:shd w:val="clear" w:color="auto" w:fill="FFFFFF" w:themeFill="background1"/>
          </w:tcPr>
          <w:p w:rsidR="000D0FC4" w:rsidRPr="00BC6390" w:rsidRDefault="000D0FC4" w:rsidP="00BC6390">
            <w:pPr>
              <w:rPr>
                <w:b/>
              </w:rPr>
            </w:pPr>
          </w:p>
        </w:tc>
        <w:tc>
          <w:tcPr>
            <w:tcW w:w="1080" w:type="dxa"/>
            <w:shd w:val="clear" w:color="auto" w:fill="FFFFFF" w:themeFill="background1"/>
          </w:tcPr>
          <w:p w:rsidR="000D0FC4" w:rsidRPr="00BC6390" w:rsidRDefault="000D0FC4" w:rsidP="00BC6390">
            <w:pPr>
              <w:rPr>
                <w:b/>
              </w:rPr>
            </w:pPr>
          </w:p>
        </w:tc>
        <w:tc>
          <w:tcPr>
            <w:tcW w:w="900" w:type="dxa"/>
            <w:shd w:val="clear" w:color="auto" w:fill="FFFFFF" w:themeFill="background1"/>
          </w:tcPr>
          <w:p w:rsidR="000D0FC4" w:rsidRPr="00BC6390" w:rsidRDefault="000D0FC4" w:rsidP="00BC6390">
            <w:pPr>
              <w:rPr>
                <w:b/>
              </w:rPr>
            </w:pPr>
          </w:p>
        </w:tc>
        <w:tc>
          <w:tcPr>
            <w:tcW w:w="1350" w:type="dxa"/>
            <w:shd w:val="clear" w:color="auto" w:fill="FFFFFF" w:themeFill="background1"/>
          </w:tcPr>
          <w:p w:rsidR="000D0FC4" w:rsidRPr="00BC6390" w:rsidRDefault="000D0FC4" w:rsidP="00BC6390">
            <w:pPr>
              <w:rPr>
                <w:b/>
              </w:rPr>
            </w:pPr>
          </w:p>
        </w:tc>
      </w:tr>
      <w:tr w:rsidR="000D0FC4" w:rsidRPr="00BC6390" w:rsidTr="000D0FC4">
        <w:trPr>
          <w:trHeight w:val="413"/>
          <w:jc w:val="center"/>
        </w:trPr>
        <w:tc>
          <w:tcPr>
            <w:tcW w:w="5215" w:type="dxa"/>
            <w:shd w:val="clear" w:color="auto" w:fill="FFFFFF" w:themeFill="background1"/>
          </w:tcPr>
          <w:p w:rsidR="000D0FC4" w:rsidRPr="00BC6390" w:rsidRDefault="000D0FC4" w:rsidP="00BC6390">
            <w:r w:rsidRPr="00BC6390">
              <w:t>Trains and supports family members and other communication partners of individuals with communication delays and disorders in techniques and/or strategies to enhance their communication effectiveness</w:t>
            </w:r>
          </w:p>
        </w:tc>
        <w:tc>
          <w:tcPr>
            <w:tcW w:w="1800" w:type="dxa"/>
            <w:shd w:val="clear" w:color="auto" w:fill="FFFFFF" w:themeFill="background1"/>
          </w:tcPr>
          <w:p w:rsidR="000D0FC4" w:rsidRPr="00BC6390" w:rsidRDefault="000D0FC4" w:rsidP="00BC6390">
            <w:pPr>
              <w:rPr>
                <w:b/>
              </w:rPr>
            </w:pPr>
          </w:p>
        </w:tc>
        <w:tc>
          <w:tcPr>
            <w:tcW w:w="1080" w:type="dxa"/>
            <w:shd w:val="clear" w:color="auto" w:fill="FFFFFF" w:themeFill="background1"/>
          </w:tcPr>
          <w:p w:rsidR="000D0FC4" w:rsidRPr="00BC6390" w:rsidRDefault="000D0FC4" w:rsidP="00BC6390">
            <w:pPr>
              <w:rPr>
                <w:b/>
              </w:rPr>
            </w:pPr>
          </w:p>
        </w:tc>
        <w:tc>
          <w:tcPr>
            <w:tcW w:w="900" w:type="dxa"/>
            <w:shd w:val="clear" w:color="auto" w:fill="FFFFFF" w:themeFill="background1"/>
          </w:tcPr>
          <w:p w:rsidR="000D0FC4" w:rsidRPr="00BC6390" w:rsidRDefault="000D0FC4" w:rsidP="00BC6390">
            <w:pPr>
              <w:rPr>
                <w:b/>
              </w:rPr>
            </w:pPr>
          </w:p>
        </w:tc>
        <w:tc>
          <w:tcPr>
            <w:tcW w:w="1350" w:type="dxa"/>
            <w:shd w:val="clear" w:color="auto" w:fill="FFFFFF" w:themeFill="background1"/>
          </w:tcPr>
          <w:p w:rsidR="000D0FC4" w:rsidRPr="00BC6390" w:rsidRDefault="000D0FC4" w:rsidP="00BC6390">
            <w:pPr>
              <w:rPr>
                <w:b/>
              </w:rPr>
            </w:pPr>
          </w:p>
        </w:tc>
      </w:tr>
      <w:tr w:rsidR="000D0FC4" w:rsidRPr="00BC6390" w:rsidTr="000D0FC4">
        <w:trPr>
          <w:trHeight w:val="413"/>
          <w:jc w:val="center"/>
        </w:trPr>
        <w:tc>
          <w:tcPr>
            <w:tcW w:w="5215" w:type="dxa"/>
            <w:shd w:val="clear" w:color="auto" w:fill="FFFFFF" w:themeFill="background1"/>
          </w:tcPr>
          <w:p w:rsidR="000D0FC4" w:rsidRPr="00BC6390" w:rsidRDefault="000D0FC4" w:rsidP="00BC6390">
            <w:r w:rsidRPr="00BC6390">
              <w:t>Provides training and consulting services to teachers, administrators, and other school personnel regarding the implications of communication delays and disorders for learning, as well as modifications and/or accommodations to support the learning of these individuals</w:t>
            </w:r>
          </w:p>
        </w:tc>
        <w:tc>
          <w:tcPr>
            <w:tcW w:w="1800" w:type="dxa"/>
            <w:shd w:val="clear" w:color="auto" w:fill="FFFFFF" w:themeFill="background1"/>
          </w:tcPr>
          <w:p w:rsidR="000D0FC4" w:rsidRPr="00BC6390" w:rsidRDefault="000D0FC4" w:rsidP="00BC6390">
            <w:pPr>
              <w:rPr>
                <w:b/>
              </w:rPr>
            </w:pPr>
          </w:p>
        </w:tc>
        <w:tc>
          <w:tcPr>
            <w:tcW w:w="1080" w:type="dxa"/>
            <w:shd w:val="clear" w:color="auto" w:fill="FFFFFF" w:themeFill="background1"/>
          </w:tcPr>
          <w:p w:rsidR="000D0FC4" w:rsidRPr="00BC6390" w:rsidRDefault="000D0FC4" w:rsidP="00BC6390">
            <w:pPr>
              <w:rPr>
                <w:b/>
              </w:rPr>
            </w:pPr>
          </w:p>
        </w:tc>
        <w:tc>
          <w:tcPr>
            <w:tcW w:w="900" w:type="dxa"/>
            <w:shd w:val="clear" w:color="auto" w:fill="FFFFFF" w:themeFill="background1"/>
          </w:tcPr>
          <w:p w:rsidR="000D0FC4" w:rsidRPr="00BC6390" w:rsidRDefault="000D0FC4" w:rsidP="00BC6390">
            <w:pPr>
              <w:rPr>
                <w:b/>
              </w:rPr>
            </w:pPr>
          </w:p>
        </w:tc>
        <w:tc>
          <w:tcPr>
            <w:tcW w:w="1350" w:type="dxa"/>
            <w:shd w:val="clear" w:color="auto" w:fill="FFFFFF" w:themeFill="background1"/>
          </w:tcPr>
          <w:p w:rsidR="000D0FC4" w:rsidRPr="00BC6390" w:rsidRDefault="000D0FC4" w:rsidP="00BC6390">
            <w:pPr>
              <w:rPr>
                <w:b/>
              </w:rPr>
            </w:pPr>
          </w:p>
        </w:tc>
      </w:tr>
      <w:tr w:rsidR="000D0FC4" w:rsidRPr="00BC6390" w:rsidTr="000D0FC4">
        <w:trPr>
          <w:trHeight w:val="413"/>
          <w:jc w:val="center"/>
        </w:trPr>
        <w:tc>
          <w:tcPr>
            <w:tcW w:w="5215" w:type="dxa"/>
            <w:shd w:val="clear" w:color="auto" w:fill="FFFFFF" w:themeFill="background1"/>
          </w:tcPr>
          <w:p w:rsidR="000D0FC4" w:rsidRPr="00BC6390" w:rsidRDefault="000D0FC4" w:rsidP="00BC6390">
            <w:r w:rsidRPr="00BC6390">
              <w:t>Collaborates with audiologists in the assessment of auditory processing disorders in cases in which there is evidence of speech, language and/or other cognitive-communication disorders; and provides or supervises the intervention for individuals with auditory processing disorders</w:t>
            </w:r>
          </w:p>
        </w:tc>
        <w:tc>
          <w:tcPr>
            <w:tcW w:w="1800" w:type="dxa"/>
            <w:shd w:val="clear" w:color="auto" w:fill="FFFFFF" w:themeFill="background1"/>
          </w:tcPr>
          <w:p w:rsidR="000D0FC4" w:rsidRPr="00BC6390" w:rsidRDefault="000D0FC4" w:rsidP="00BC6390">
            <w:pPr>
              <w:rPr>
                <w:b/>
              </w:rPr>
            </w:pPr>
          </w:p>
        </w:tc>
        <w:tc>
          <w:tcPr>
            <w:tcW w:w="1080" w:type="dxa"/>
            <w:shd w:val="clear" w:color="auto" w:fill="FFFFFF" w:themeFill="background1"/>
          </w:tcPr>
          <w:p w:rsidR="000D0FC4" w:rsidRPr="00BC6390" w:rsidRDefault="000D0FC4" w:rsidP="00BC6390">
            <w:pPr>
              <w:rPr>
                <w:b/>
              </w:rPr>
            </w:pPr>
          </w:p>
        </w:tc>
        <w:tc>
          <w:tcPr>
            <w:tcW w:w="900" w:type="dxa"/>
            <w:shd w:val="clear" w:color="auto" w:fill="FFFFFF" w:themeFill="background1"/>
          </w:tcPr>
          <w:p w:rsidR="000D0FC4" w:rsidRPr="00BC6390" w:rsidRDefault="000D0FC4" w:rsidP="00BC6390">
            <w:pPr>
              <w:rPr>
                <w:b/>
              </w:rPr>
            </w:pPr>
          </w:p>
        </w:tc>
        <w:tc>
          <w:tcPr>
            <w:tcW w:w="1350" w:type="dxa"/>
            <w:shd w:val="clear" w:color="auto" w:fill="FFFFFF" w:themeFill="background1"/>
          </w:tcPr>
          <w:p w:rsidR="000D0FC4" w:rsidRPr="00BC6390" w:rsidRDefault="000D0FC4" w:rsidP="00BC6390">
            <w:pPr>
              <w:rPr>
                <w:b/>
              </w:rPr>
            </w:pPr>
          </w:p>
        </w:tc>
      </w:tr>
      <w:tr w:rsidR="000D0FC4" w:rsidRPr="00BC6390" w:rsidTr="000D0FC4">
        <w:trPr>
          <w:trHeight w:val="413"/>
          <w:jc w:val="center"/>
        </w:trPr>
        <w:tc>
          <w:tcPr>
            <w:tcW w:w="5215" w:type="dxa"/>
            <w:shd w:val="clear" w:color="auto" w:fill="FFFFFF" w:themeFill="background1"/>
          </w:tcPr>
          <w:p w:rsidR="000D0FC4" w:rsidRPr="00BC6390" w:rsidRDefault="000D0FC4" w:rsidP="00BC6390">
            <w:r w:rsidRPr="00BC6390">
              <w:t>Collaborates with teachers of English as a Second Language to enhance students’ communication effectiveness</w:t>
            </w:r>
          </w:p>
        </w:tc>
        <w:tc>
          <w:tcPr>
            <w:tcW w:w="1800" w:type="dxa"/>
            <w:shd w:val="clear" w:color="auto" w:fill="FFFFFF" w:themeFill="background1"/>
          </w:tcPr>
          <w:p w:rsidR="000D0FC4" w:rsidRPr="00BC6390" w:rsidRDefault="000D0FC4" w:rsidP="00BC6390">
            <w:pPr>
              <w:rPr>
                <w:b/>
              </w:rPr>
            </w:pPr>
          </w:p>
        </w:tc>
        <w:tc>
          <w:tcPr>
            <w:tcW w:w="1080" w:type="dxa"/>
            <w:shd w:val="clear" w:color="auto" w:fill="FFFFFF" w:themeFill="background1"/>
          </w:tcPr>
          <w:p w:rsidR="000D0FC4" w:rsidRPr="00BC6390" w:rsidRDefault="000D0FC4" w:rsidP="00BC6390">
            <w:pPr>
              <w:rPr>
                <w:b/>
              </w:rPr>
            </w:pPr>
          </w:p>
        </w:tc>
        <w:tc>
          <w:tcPr>
            <w:tcW w:w="900" w:type="dxa"/>
            <w:shd w:val="clear" w:color="auto" w:fill="FFFFFF" w:themeFill="background1"/>
          </w:tcPr>
          <w:p w:rsidR="000D0FC4" w:rsidRPr="00BC6390" w:rsidRDefault="000D0FC4" w:rsidP="00BC6390">
            <w:pPr>
              <w:rPr>
                <w:b/>
              </w:rPr>
            </w:pPr>
          </w:p>
        </w:tc>
        <w:tc>
          <w:tcPr>
            <w:tcW w:w="1350" w:type="dxa"/>
            <w:shd w:val="clear" w:color="auto" w:fill="FFFFFF" w:themeFill="background1"/>
          </w:tcPr>
          <w:p w:rsidR="000D0FC4" w:rsidRPr="00BC6390" w:rsidRDefault="000D0FC4" w:rsidP="00BC6390">
            <w:pPr>
              <w:rPr>
                <w:b/>
              </w:rPr>
            </w:pPr>
          </w:p>
        </w:tc>
      </w:tr>
      <w:tr w:rsidR="000D0FC4" w:rsidRPr="00BC6390" w:rsidTr="000D0FC4">
        <w:trPr>
          <w:trHeight w:val="413"/>
          <w:jc w:val="center"/>
        </w:trPr>
        <w:tc>
          <w:tcPr>
            <w:tcW w:w="5215" w:type="dxa"/>
            <w:shd w:val="clear" w:color="auto" w:fill="FFFFFF" w:themeFill="background1"/>
          </w:tcPr>
          <w:p w:rsidR="000D0FC4" w:rsidRPr="00BC6390" w:rsidRDefault="000D0FC4" w:rsidP="00BC6390">
            <w:r w:rsidRPr="00BC6390">
              <w:t>Trains and supervises support personnel according to ASHA guidelines for supervision</w:t>
            </w:r>
          </w:p>
        </w:tc>
        <w:tc>
          <w:tcPr>
            <w:tcW w:w="1800" w:type="dxa"/>
            <w:shd w:val="clear" w:color="auto" w:fill="FFFFFF" w:themeFill="background1"/>
          </w:tcPr>
          <w:p w:rsidR="000D0FC4" w:rsidRPr="00BC6390" w:rsidRDefault="000D0FC4" w:rsidP="00BC6390">
            <w:pPr>
              <w:rPr>
                <w:b/>
              </w:rPr>
            </w:pPr>
          </w:p>
        </w:tc>
        <w:tc>
          <w:tcPr>
            <w:tcW w:w="1080" w:type="dxa"/>
            <w:shd w:val="clear" w:color="auto" w:fill="FFFFFF" w:themeFill="background1"/>
          </w:tcPr>
          <w:p w:rsidR="000D0FC4" w:rsidRPr="00BC6390" w:rsidRDefault="000D0FC4" w:rsidP="00BC6390">
            <w:pPr>
              <w:rPr>
                <w:b/>
              </w:rPr>
            </w:pPr>
          </w:p>
        </w:tc>
        <w:tc>
          <w:tcPr>
            <w:tcW w:w="900" w:type="dxa"/>
            <w:shd w:val="clear" w:color="auto" w:fill="FFFFFF" w:themeFill="background1"/>
          </w:tcPr>
          <w:p w:rsidR="000D0FC4" w:rsidRPr="00BC6390" w:rsidRDefault="000D0FC4" w:rsidP="00BC6390">
            <w:pPr>
              <w:rPr>
                <w:b/>
              </w:rPr>
            </w:pPr>
          </w:p>
        </w:tc>
        <w:tc>
          <w:tcPr>
            <w:tcW w:w="1350" w:type="dxa"/>
            <w:shd w:val="clear" w:color="auto" w:fill="FFFFFF" w:themeFill="background1"/>
          </w:tcPr>
          <w:p w:rsidR="000D0FC4" w:rsidRPr="00BC6390" w:rsidRDefault="000D0FC4" w:rsidP="00BC6390">
            <w:pPr>
              <w:rPr>
                <w:b/>
              </w:rPr>
            </w:pPr>
          </w:p>
        </w:tc>
      </w:tr>
      <w:tr w:rsidR="000D0FC4" w:rsidRPr="00BC6390" w:rsidTr="000D0FC4">
        <w:trPr>
          <w:trHeight w:val="413"/>
          <w:jc w:val="center"/>
        </w:trPr>
        <w:tc>
          <w:tcPr>
            <w:tcW w:w="5215" w:type="dxa"/>
            <w:shd w:val="clear" w:color="auto" w:fill="D9D9D9" w:themeFill="background1" w:themeFillShade="D9"/>
          </w:tcPr>
          <w:p w:rsidR="000D0FC4" w:rsidRPr="00B23656" w:rsidRDefault="000D0FC4" w:rsidP="00BC6390">
            <w:pPr>
              <w:rPr>
                <w:b/>
              </w:rPr>
            </w:pPr>
            <w:r w:rsidRPr="00B23656">
              <w:rPr>
                <w:b/>
              </w:rPr>
              <w:lastRenderedPageBreak/>
              <w:t>Additional Requirements</w:t>
            </w:r>
          </w:p>
        </w:tc>
        <w:tc>
          <w:tcPr>
            <w:tcW w:w="1800" w:type="dxa"/>
            <w:shd w:val="clear" w:color="auto" w:fill="D9D9D9" w:themeFill="background1" w:themeFillShade="D9"/>
          </w:tcPr>
          <w:p w:rsidR="000D0FC4" w:rsidRPr="00BC6390" w:rsidRDefault="000D0FC4" w:rsidP="00BC6390">
            <w:pPr>
              <w:rPr>
                <w:b/>
              </w:rPr>
            </w:pPr>
          </w:p>
        </w:tc>
        <w:tc>
          <w:tcPr>
            <w:tcW w:w="1080" w:type="dxa"/>
            <w:shd w:val="clear" w:color="auto" w:fill="D9D9D9" w:themeFill="background1" w:themeFillShade="D9"/>
          </w:tcPr>
          <w:p w:rsidR="000D0FC4" w:rsidRPr="00BC6390" w:rsidRDefault="000D0FC4" w:rsidP="00BC6390">
            <w:pPr>
              <w:rPr>
                <w:b/>
              </w:rPr>
            </w:pPr>
          </w:p>
        </w:tc>
        <w:tc>
          <w:tcPr>
            <w:tcW w:w="900" w:type="dxa"/>
            <w:shd w:val="clear" w:color="auto" w:fill="D9D9D9" w:themeFill="background1" w:themeFillShade="D9"/>
          </w:tcPr>
          <w:p w:rsidR="000D0FC4" w:rsidRPr="00BC6390" w:rsidRDefault="000D0FC4" w:rsidP="00BC6390">
            <w:pPr>
              <w:rPr>
                <w:b/>
              </w:rPr>
            </w:pPr>
          </w:p>
        </w:tc>
        <w:tc>
          <w:tcPr>
            <w:tcW w:w="1350" w:type="dxa"/>
            <w:shd w:val="clear" w:color="auto" w:fill="D9D9D9" w:themeFill="background1" w:themeFillShade="D9"/>
          </w:tcPr>
          <w:p w:rsidR="000D0FC4" w:rsidRPr="00BC6390" w:rsidRDefault="000D0FC4" w:rsidP="00BC6390">
            <w:pPr>
              <w:rPr>
                <w:b/>
              </w:rPr>
            </w:pPr>
          </w:p>
        </w:tc>
      </w:tr>
      <w:tr w:rsidR="000D0FC4" w:rsidRPr="00BC6390" w:rsidTr="000D0FC4">
        <w:trPr>
          <w:trHeight w:val="413"/>
          <w:jc w:val="center"/>
        </w:trPr>
        <w:tc>
          <w:tcPr>
            <w:tcW w:w="5215" w:type="dxa"/>
            <w:shd w:val="clear" w:color="auto" w:fill="FFFFFF" w:themeFill="background1"/>
          </w:tcPr>
          <w:p w:rsidR="000D0FC4" w:rsidRPr="00BC6390" w:rsidRDefault="000D0FC4" w:rsidP="00BC6390">
            <w:r w:rsidRPr="00BC6390">
              <w:t>Clinical Licensure as a Speech Language Pathologist in the State of Vermont</w:t>
            </w:r>
          </w:p>
        </w:tc>
        <w:tc>
          <w:tcPr>
            <w:tcW w:w="1800" w:type="dxa"/>
            <w:shd w:val="clear" w:color="auto" w:fill="FFFFFF" w:themeFill="background1"/>
          </w:tcPr>
          <w:p w:rsidR="000D0FC4" w:rsidRPr="00BC6390" w:rsidRDefault="000D0FC4" w:rsidP="00BC6390">
            <w:pPr>
              <w:rPr>
                <w:b/>
              </w:rPr>
            </w:pPr>
            <w:r w:rsidRPr="00BC6390">
              <w:rPr>
                <w:b/>
              </w:rPr>
              <w:t>N/A</w:t>
            </w:r>
          </w:p>
        </w:tc>
        <w:tc>
          <w:tcPr>
            <w:tcW w:w="1080" w:type="dxa"/>
            <w:shd w:val="clear" w:color="auto" w:fill="FFFFFF" w:themeFill="background1"/>
          </w:tcPr>
          <w:p w:rsidR="000D0FC4" w:rsidRPr="00BC6390" w:rsidRDefault="000D0FC4" w:rsidP="00BC6390">
            <w:pPr>
              <w:rPr>
                <w:b/>
              </w:rPr>
            </w:pPr>
            <w:r w:rsidRPr="00BC6390">
              <w:rPr>
                <w:b/>
              </w:rPr>
              <w:t>N/A</w:t>
            </w:r>
          </w:p>
        </w:tc>
        <w:tc>
          <w:tcPr>
            <w:tcW w:w="900" w:type="dxa"/>
            <w:shd w:val="clear" w:color="auto" w:fill="FFFFFF" w:themeFill="background1"/>
          </w:tcPr>
          <w:p w:rsidR="000D0FC4" w:rsidRPr="00BC6390" w:rsidRDefault="000D0FC4" w:rsidP="00BC6390">
            <w:pPr>
              <w:rPr>
                <w:b/>
              </w:rPr>
            </w:pPr>
            <w:r w:rsidRPr="00BC6390">
              <w:rPr>
                <w:b/>
              </w:rPr>
              <w:t>N/A</w:t>
            </w:r>
          </w:p>
        </w:tc>
        <w:tc>
          <w:tcPr>
            <w:tcW w:w="1350" w:type="dxa"/>
            <w:shd w:val="clear" w:color="auto" w:fill="FFFFFF" w:themeFill="background1"/>
          </w:tcPr>
          <w:p w:rsidR="000D0FC4" w:rsidRPr="00BC6390" w:rsidRDefault="000D0FC4" w:rsidP="00BC6390">
            <w:pPr>
              <w:rPr>
                <w:b/>
              </w:rPr>
            </w:pPr>
            <w:r w:rsidRPr="00BC6390">
              <w:rPr>
                <w:b/>
              </w:rPr>
              <w:t>N/A</w:t>
            </w:r>
          </w:p>
        </w:tc>
      </w:tr>
      <w:tr w:rsidR="000D0FC4" w:rsidRPr="00BC6390" w:rsidTr="000D0FC4">
        <w:trPr>
          <w:trHeight w:val="413"/>
          <w:jc w:val="center"/>
        </w:trPr>
        <w:tc>
          <w:tcPr>
            <w:tcW w:w="5215" w:type="dxa"/>
            <w:tcBorders>
              <w:bottom w:val="single" w:sz="4" w:space="0" w:color="auto"/>
            </w:tcBorders>
            <w:shd w:val="clear" w:color="auto" w:fill="FFFFFF" w:themeFill="background1"/>
          </w:tcPr>
          <w:p w:rsidR="000D0FC4" w:rsidRPr="00BC6390" w:rsidRDefault="000D0FC4" w:rsidP="00BC6390">
            <w:r w:rsidRPr="00BC6390">
              <w:t>A minimum of a practicum in an educational setting in the diagnosis and management of individuals with communication delays and disorders under the supervision of a licensed Educational Speech Language Pathologist or ASHA certified Speech Language Pathologist</w:t>
            </w:r>
          </w:p>
        </w:tc>
        <w:tc>
          <w:tcPr>
            <w:tcW w:w="1800" w:type="dxa"/>
            <w:tcBorders>
              <w:bottom w:val="single" w:sz="4" w:space="0" w:color="auto"/>
            </w:tcBorders>
            <w:shd w:val="clear" w:color="auto" w:fill="FFFFFF" w:themeFill="background1"/>
          </w:tcPr>
          <w:p w:rsidR="000D0FC4" w:rsidRPr="00BC6390" w:rsidRDefault="000D0FC4" w:rsidP="00BC6390">
            <w:pPr>
              <w:rPr>
                <w:b/>
              </w:rPr>
            </w:pPr>
          </w:p>
        </w:tc>
        <w:tc>
          <w:tcPr>
            <w:tcW w:w="1080" w:type="dxa"/>
            <w:tcBorders>
              <w:bottom w:val="single" w:sz="4" w:space="0" w:color="auto"/>
            </w:tcBorders>
            <w:shd w:val="clear" w:color="auto" w:fill="FFFFFF" w:themeFill="background1"/>
          </w:tcPr>
          <w:p w:rsidR="000D0FC4" w:rsidRPr="00BC6390" w:rsidRDefault="000D0FC4" w:rsidP="00BC6390">
            <w:pPr>
              <w:rPr>
                <w:b/>
              </w:rPr>
            </w:pPr>
          </w:p>
        </w:tc>
        <w:tc>
          <w:tcPr>
            <w:tcW w:w="900" w:type="dxa"/>
            <w:tcBorders>
              <w:bottom w:val="single" w:sz="4" w:space="0" w:color="auto"/>
            </w:tcBorders>
            <w:shd w:val="clear" w:color="auto" w:fill="FFFFFF" w:themeFill="background1"/>
          </w:tcPr>
          <w:p w:rsidR="000D0FC4" w:rsidRPr="00BC6390" w:rsidRDefault="000D0FC4" w:rsidP="00BC6390">
            <w:pPr>
              <w:rPr>
                <w:b/>
              </w:rPr>
            </w:pPr>
          </w:p>
        </w:tc>
        <w:tc>
          <w:tcPr>
            <w:tcW w:w="1350" w:type="dxa"/>
            <w:tcBorders>
              <w:bottom w:val="single" w:sz="4" w:space="0" w:color="auto"/>
            </w:tcBorders>
            <w:shd w:val="clear" w:color="auto" w:fill="FFFFFF" w:themeFill="background1"/>
          </w:tcPr>
          <w:p w:rsidR="000D0FC4" w:rsidRPr="00BC6390" w:rsidRDefault="000D0FC4" w:rsidP="00BC6390">
            <w:pPr>
              <w:rPr>
                <w:b/>
              </w:rPr>
            </w:pPr>
          </w:p>
        </w:tc>
      </w:tr>
    </w:tbl>
    <w:p w:rsidR="00BE60F8" w:rsidRPr="00BE60F8" w:rsidRDefault="00BE60F8" w:rsidP="00AE72C7">
      <w:pPr>
        <w:rPr>
          <w:rFonts w:cs="Times New Roman"/>
          <w:bCs w:val="0"/>
          <w:sz w:val="20"/>
          <w:szCs w:val="20"/>
        </w:rPr>
      </w:pPr>
    </w:p>
    <w:sectPr w:rsidR="00BE60F8" w:rsidRPr="00BE60F8" w:rsidSect="000D0FC4">
      <w:headerReference w:type="default" r:id="rId10"/>
      <w:footerReference w:type="default" r:id="rId11"/>
      <w:headerReference w:type="first" r:id="rId12"/>
      <w:pgSz w:w="12240" w:h="15840"/>
      <w:pgMar w:top="72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4AE" w:rsidRDefault="004414AE" w:rsidP="004062C7">
      <w:r>
        <w:separator/>
      </w:r>
    </w:p>
  </w:endnote>
  <w:endnote w:type="continuationSeparator" w:id="0">
    <w:p w:rsidR="004414AE" w:rsidRDefault="004414AE"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491"/>
      <w:gridCol w:w="1473"/>
      <w:gridCol w:w="3396"/>
    </w:tblGrid>
    <w:tr w:rsidR="00796D5F" w:rsidTr="000D0FC4">
      <w:trPr>
        <w:cantSplit/>
        <w:trHeight w:val="633"/>
        <w:tblHeader/>
        <w:jc w:val="center"/>
      </w:trPr>
      <w:tc>
        <w:tcPr>
          <w:tcW w:w="4955" w:type="dxa"/>
        </w:tcPr>
        <w:p w:rsidR="000D0FC4" w:rsidRPr="000D0FC4" w:rsidRDefault="00404720" w:rsidP="00BC6390">
          <w:pPr>
            <w:rPr>
              <w:sz w:val="18"/>
              <w:szCs w:val="18"/>
            </w:rPr>
          </w:pPr>
          <w:r w:rsidRPr="000D0FC4">
            <w:rPr>
              <w:sz w:val="18"/>
              <w:szCs w:val="18"/>
            </w:rPr>
            <w:t>Transcript Review Worksheet</w:t>
          </w:r>
          <w:r w:rsidR="00BE60F8" w:rsidRPr="000D0FC4">
            <w:rPr>
              <w:sz w:val="18"/>
              <w:szCs w:val="18"/>
            </w:rPr>
            <w:t xml:space="preserve"> </w:t>
          </w:r>
        </w:p>
        <w:p w:rsidR="00796D5F" w:rsidRPr="00937FFC" w:rsidRDefault="000D0FC4" w:rsidP="00BC6390">
          <w:pPr>
            <w:rPr>
              <w:sz w:val="20"/>
            </w:rPr>
          </w:pPr>
          <w:r>
            <w:rPr>
              <w:sz w:val="18"/>
              <w:szCs w:val="18"/>
            </w:rPr>
            <w:t>3</w:t>
          </w:r>
          <w:r w:rsidR="009F7ECF" w:rsidRPr="000D0FC4">
            <w:rPr>
              <w:sz w:val="18"/>
              <w:szCs w:val="18"/>
            </w:rPr>
            <w:t>/</w:t>
          </w:r>
          <w:r w:rsidR="00BC6390" w:rsidRPr="000D0FC4">
            <w:rPr>
              <w:sz w:val="18"/>
              <w:szCs w:val="18"/>
            </w:rPr>
            <w:t>5</w:t>
          </w:r>
          <w:r w:rsidR="009F7ECF" w:rsidRPr="000D0FC4">
            <w:rPr>
              <w:sz w:val="18"/>
              <w:szCs w:val="18"/>
            </w:rPr>
            <w:t>/</w:t>
          </w:r>
          <w:r>
            <w:rPr>
              <w:sz w:val="18"/>
              <w:szCs w:val="18"/>
            </w:rPr>
            <w:t>20</w:t>
          </w:r>
        </w:p>
      </w:tc>
      <w:tc>
        <w:tcPr>
          <w:tcW w:w="1584" w:type="dxa"/>
        </w:tcPr>
        <w:p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B23656">
            <w:rPr>
              <w:b/>
              <w:noProof/>
              <w:sz w:val="20"/>
            </w:rPr>
            <w:t>4</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B23656" w:rsidRPr="00B23656">
            <w:rPr>
              <w:b/>
              <w:noProof/>
              <w:sz w:val="20"/>
            </w:rPr>
            <w:t>4</w:t>
          </w:r>
          <w:r w:rsidRPr="00937FFC">
            <w:rPr>
              <w:b/>
              <w:noProof/>
              <w:sz w:val="20"/>
            </w:rPr>
            <w:fldChar w:fldCharType="end"/>
          </w:r>
        </w:p>
      </w:tc>
      <w:tc>
        <w:tcPr>
          <w:tcW w:w="3631" w:type="dxa"/>
        </w:tcPr>
        <w:p w:rsidR="00796D5F" w:rsidRPr="00937FFC" w:rsidRDefault="00796D5F" w:rsidP="00796D5F">
          <w:pPr>
            <w:jc w:val="right"/>
            <w:rPr>
              <w:sz w:val="20"/>
              <w:szCs w:val="18"/>
            </w:rPr>
          </w:pPr>
          <w:r w:rsidRPr="00937FFC">
            <w:rPr>
              <w:noProof/>
              <w:sz w:val="20"/>
            </w:rPr>
            <w:drawing>
              <wp:inline distT="0" distB="0" distL="0" distR="0" wp14:anchorId="3F9F43D3" wp14:editId="5BF9BE1B">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4AE" w:rsidRDefault="004414AE" w:rsidP="004062C7">
      <w:r>
        <w:separator/>
      </w:r>
    </w:p>
  </w:footnote>
  <w:footnote w:type="continuationSeparator" w:id="0">
    <w:p w:rsidR="004414AE" w:rsidRDefault="004414AE"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FC4" w:rsidRDefault="000D0FC4" w:rsidP="000D0FC4">
    <w:pPr>
      <w:pStyle w:val="Header"/>
      <w:jc w:val="center"/>
    </w:pPr>
    <w:r>
      <w:rPr>
        <w:noProof/>
      </w:rPr>
      <w:drawing>
        <wp:inline distT="0" distB="0" distL="0" distR="0" wp14:anchorId="3DAA701B" wp14:editId="4E9B8F6E">
          <wp:extent cx="1614621" cy="550321"/>
          <wp:effectExtent l="0" t="0" r="5080" b="2540"/>
          <wp:docPr id="2" name="Picture 2"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rsidR="000D0FC4" w:rsidRPr="000D0FC4" w:rsidRDefault="000D0FC4" w:rsidP="000D0FC4">
    <w:pPr>
      <w:pStyle w:val="AOE-Header"/>
      <w:rPr>
        <w:sz w:val="20"/>
        <w:szCs w:val="20"/>
      </w:rPr>
    </w:pPr>
    <w:r w:rsidRPr="000D0FC4">
      <w:rPr>
        <w:sz w:val="20"/>
        <w:szCs w:val="20"/>
        <w:shd w:val="clear" w:color="auto" w:fill="FFFFFF"/>
      </w:rPr>
      <w:t>1 National Life Drive, Davis 5</w:t>
    </w:r>
    <w:r w:rsidRPr="000D0FC4">
      <w:rPr>
        <w:sz w:val="20"/>
        <w:szCs w:val="20"/>
      </w:rPr>
      <w:br/>
    </w:r>
    <w:r w:rsidRPr="000D0FC4">
      <w:rPr>
        <w:sz w:val="20"/>
        <w:szCs w:val="20"/>
        <w:shd w:val="clear" w:color="auto" w:fill="FFFFFF"/>
      </w:rPr>
      <w:t>Montpelier, VT 05620</w:t>
    </w:r>
    <w:r w:rsidRPr="000D0FC4">
      <w:rPr>
        <w:sz w:val="20"/>
        <w:szCs w:val="20"/>
      </w:rPr>
      <w:t xml:space="preserve"> (p) 802-828-1130 | (f) 802-828-6430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FC4" w:rsidRDefault="000D0FC4" w:rsidP="000D0FC4">
    <w:pPr>
      <w:pStyle w:val="Header"/>
      <w:jc w:val="center"/>
    </w:pPr>
    <w:r>
      <w:rPr>
        <w:noProof/>
      </w:rPr>
      <w:drawing>
        <wp:inline distT="0" distB="0" distL="0" distR="0" wp14:anchorId="28A3AAA5" wp14:editId="29D6381C">
          <wp:extent cx="1614621" cy="550321"/>
          <wp:effectExtent l="0" t="0" r="5080" b="2540"/>
          <wp:docPr id="11" name="Picture 11"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rsidR="002237E0" w:rsidRPr="000D0FC4" w:rsidRDefault="000D0FC4" w:rsidP="000D0FC4">
    <w:pPr>
      <w:pStyle w:val="AOE-Header"/>
    </w:pPr>
    <w:r w:rsidRPr="004009A8">
      <w:rPr>
        <w:shd w:val="clear" w:color="auto" w:fill="FFFFFF"/>
      </w:rPr>
      <w:t>1 National Life Drive, Davis 5</w:t>
    </w:r>
    <w:r w:rsidRPr="004009A8">
      <w:br/>
    </w:r>
    <w:r w:rsidRPr="004009A8">
      <w:rPr>
        <w:shd w:val="clear" w:color="auto" w:fill="FFFFFF"/>
      </w:rPr>
      <w:t>Montpelier, VT 0562</w:t>
    </w:r>
    <w:r>
      <w:rPr>
        <w:shd w:val="clear" w:color="auto" w:fill="FFFFFF"/>
      </w:rPr>
      <w:t>0</w:t>
    </w:r>
    <w:r w:rsidRPr="004009A8">
      <w:t xml:space="preserve"> </w:t>
    </w:r>
    <w:bookmarkStart w:id="1" w:name="_Hlk27730689"/>
    <w:r w:rsidRPr="00031DF5">
      <w:t>(p) 802</w:t>
    </w:r>
    <w:r>
      <w:t>-828-1130</w:t>
    </w:r>
    <w:r w:rsidRPr="00031DF5">
      <w:t xml:space="preserve"> | (f) 802-</w:t>
    </w:r>
    <w:r>
      <w:t>828-6430</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01189"/>
    <w:multiLevelType w:val="hybridMultilevel"/>
    <w:tmpl w:val="94AC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B41EC"/>
    <w:multiLevelType w:val="hybridMultilevel"/>
    <w:tmpl w:val="36C471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9EB"/>
    <w:multiLevelType w:val="hybridMultilevel"/>
    <w:tmpl w:val="4F12F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510A71"/>
    <w:multiLevelType w:val="hybridMultilevel"/>
    <w:tmpl w:val="B85A0574"/>
    <w:lvl w:ilvl="0" w:tplc="04090001">
      <w:start w:val="1"/>
      <w:numFmt w:val="bullet"/>
      <w:lvlText w:val=""/>
      <w:lvlJc w:val="left"/>
      <w:pPr>
        <w:tabs>
          <w:tab w:val="num" w:pos="720"/>
        </w:tabs>
        <w:ind w:left="720" w:hanging="360"/>
      </w:pPr>
      <w:rPr>
        <w:rFonts w:ascii="Symbol" w:hAnsi="Symbol" w:hint="default"/>
      </w:rPr>
    </w:lvl>
    <w:lvl w:ilvl="1" w:tplc="45C03F1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4"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DB31E0"/>
    <w:multiLevelType w:val="hybridMultilevel"/>
    <w:tmpl w:val="5AD641A8"/>
    <w:lvl w:ilvl="0" w:tplc="09763ED0">
      <w:start w:val="3"/>
      <w:numFmt w:val="bullet"/>
      <w:lvlText w:val=""/>
      <w:lvlJc w:val="left"/>
      <w:pPr>
        <w:ind w:left="360" w:hanging="360"/>
      </w:pPr>
      <w:rPr>
        <w:rFonts w:ascii="Wingdings" w:eastAsia="Times New Roman" w:hAnsi="Wingdings" w:cs="Times New Roman"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5345E"/>
    <w:multiLevelType w:val="hybridMultilevel"/>
    <w:tmpl w:val="A286658C"/>
    <w:lvl w:ilvl="0" w:tplc="09763ED0">
      <w:start w:val="3"/>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7"/>
  </w:num>
  <w:num w:numId="2">
    <w:abstractNumId w:val="15"/>
  </w:num>
  <w:num w:numId="3">
    <w:abstractNumId w:val="25"/>
  </w:num>
  <w:num w:numId="4">
    <w:abstractNumId w:val="22"/>
  </w:num>
  <w:num w:numId="5">
    <w:abstractNumId w:val="23"/>
  </w:num>
  <w:num w:numId="6">
    <w:abstractNumId w:val="6"/>
  </w:num>
  <w:num w:numId="7">
    <w:abstractNumId w:val="0"/>
  </w:num>
  <w:num w:numId="8">
    <w:abstractNumId w:val="16"/>
  </w:num>
  <w:num w:numId="9">
    <w:abstractNumId w:val="21"/>
  </w:num>
  <w:num w:numId="10">
    <w:abstractNumId w:val="28"/>
  </w:num>
  <w:num w:numId="11">
    <w:abstractNumId w:val="18"/>
  </w:num>
  <w:num w:numId="12">
    <w:abstractNumId w:val="10"/>
  </w:num>
  <w:num w:numId="13">
    <w:abstractNumId w:val="30"/>
  </w:num>
  <w:num w:numId="14">
    <w:abstractNumId w:val="11"/>
  </w:num>
  <w:num w:numId="15">
    <w:abstractNumId w:val="29"/>
  </w:num>
  <w:num w:numId="16">
    <w:abstractNumId w:val="5"/>
  </w:num>
  <w:num w:numId="17">
    <w:abstractNumId w:val="7"/>
  </w:num>
  <w:num w:numId="18">
    <w:abstractNumId w:val="19"/>
  </w:num>
  <w:num w:numId="19">
    <w:abstractNumId w:val="24"/>
  </w:num>
  <w:num w:numId="20">
    <w:abstractNumId w:val="13"/>
  </w:num>
  <w:num w:numId="21">
    <w:abstractNumId w:val="14"/>
  </w:num>
  <w:num w:numId="22">
    <w:abstractNumId w:val="12"/>
  </w:num>
  <w:num w:numId="23">
    <w:abstractNumId w:val="1"/>
  </w:num>
  <w:num w:numId="24">
    <w:abstractNumId w:val="26"/>
  </w:num>
  <w:num w:numId="25">
    <w:abstractNumId w:val="1"/>
  </w:num>
  <w:num w:numId="26">
    <w:abstractNumId w:val="2"/>
  </w:num>
  <w:num w:numId="27">
    <w:abstractNumId w:val="17"/>
  </w:num>
  <w:num w:numId="28">
    <w:abstractNumId w:val="20"/>
  </w:num>
  <w:num w:numId="29">
    <w:abstractNumId w:val="4"/>
  </w:num>
  <w:num w:numId="30">
    <w:abstractNumId w:val="9"/>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971745"/>
    <w:rsid w:val="00062DFA"/>
    <w:rsid w:val="00070DF9"/>
    <w:rsid w:val="000D0FC4"/>
    <w:rsid w:val="000F3A23"/>
    <w:rsid w:val="000F7F54"/>
    <w:rsid w:val="00102EA8"/>
    <w:rsid w:val="00161F11"/>
    <w:rsid w:val="001645D6"/>
    <w:rsid w:val="0017612B"/>
    <w:rsid w:val="001C1F88"/>
    <w:rsid w:val="001D07C0"/>
    <w:rsid w:val="001E7FBE"/>
    <w:rsid w:val="001F22D0"/>
    <w:rsid w:val="00217F09"/>
    <w:rsid w:val="00221659"/>
    <w:rsid w:val="002237E0"/>
    <w:rsid w:val="0024786D"/>
    <w:rsid w:val="00256309"/>
    <w:rsid w:val="002A0C9D"/>
    <w:rsid w:val="002D6A73"/>
    <w:rsid w:val="002E0106"/>
    <w:rsid w:val="002E3710"/>
    <w:rsid w:val="002E7E11"/>
    <w:rsid w:val="00314055"/>
    <w:rsid w:val="00326074"/>
    <w:rsid w:val="003274F5"/>
    <w:rsid w:val="003275FD"/>
    <w:rsid w:val="00334D48"/>
    <w:rsid w:val="00340C04"/>
    <w:rsid w:val="003A742A"/>
    <w:rsid w:val="003B7F81"/>
    <w:rsid w:val="003D0155"/>
    <w:rsid w:val="003D090F"/>
    <w:rsid w:val="00404720"/>
    <w:rsid w:val="004062C7"/>
    <w:rsid w:val="004414AE"/>
    <w:rsid w:val="00442899"/>
    <w:rsid w:val="00444A7A"/>
    <w:rsid w:val="00490247"/>
    <w:rsid w:val="004A7AD0"/>
    <w:rsid w:val="004B7F41"/>
    <w:rsid w:val="00500232"/>
    <w:rsid w:val="005464E9"/>
    <w:rsid w:val="0056727F"/>
    <w:rsid w:val="00575711"/>
    <w:rsid w:val="005A2F07"/>
    <w:rsid w:val="005D1A81"/>
    <w:rsid w:val="005D7389"/>
    <w:rsid w:val="005D7ABB"/>
    <w:rsid w:val="006062D9"/>
    <w:rsid w:val="00606DE3"/>
    <w:rsid w:val="00611BAF"/>
    <w:rsid w:val="00626212"/>
    <w:rsid w:val="0063049A"/>
    <w:rsid w:val="00651179"/>
    <w:rsid w:val="00651E8D"/>
    <w:rsid w:val="006703F6"/>
    <w:rsid w:val="006F698F"/>
    <w:rsid w:val="00721DF9"/>
    <w:rsid w:val="00734368"/>
    <w:rsid w:val="00746838"/>
    <w:rsid w:val="007963EC"/>
    <w:rsid w:val="00796D5F"/>
    <w:rsid w:val="007B3876"/>
    <w:rsid w:val="007D17B1"/>
    <w:rsid w:val="007D5E67"/>
    <w:rsid w:val="007E3BD6"/>
    <w:rsid w:val="007F47A0"/>
    <w:rsid w:val="0082162E"/>
    <w:rsid w:val="00865A62"/>
    <w:rsid w:val="0087647A"/>
    <w:rsid w:val="008C332D"/>
    <w:rsid w:val="008F6F90"/>
    <w:rsid w:val="0092656D"/>
    <w:rsid w:val="00937F53"/>
    <w:rsid w:val="00937FFC"/>
    <w:rsid w:val="0094350D"/>
    <w:rsid w:val="00961A6D"/>
    <w:rsid w:val="00971745"/>
    <w:rsid w:val="009A5865"/>
    <w:rsid w:val="009D24B2"/>
    <w:rsid w:val="009D4528"/>
    <w:rsid w:val="009F7ECF"/>
    <w:rsid w:val="00A1547A"/>
    <w:rsid w:val="00A24AEB"/>
    <w:rsid w:val="00A92164"/>
    <w:rsid w:val="00AD4B66"/>
    <w:rsid w:val="00AE72C7"/>
    <w:rsid w:val="00AF33BA"/>
    <w:rsid w:val="00AF602B"/>
    <w:rsid w:val="00B04C63"/>
    <w:rsid w:val="00B23656"/>
    <w:rsid w:val="00B25D38"/>
    <w:rsid w:val="00B25DEC"/>
    <w:rsid w:val="00B6001B"/>
    <w:rsid w:val="00BC6390"/>
    <w:rsid w:val="00BD7ABE"/>
    <w:rsid w:val="00BE43B0"/>
    <w:rsid w:val="00BE60F8"/>
    <w:rsid w:val="00CB29BB"/>
    <w:rsid w:val="00CC230C"/>
    <w:rsid w:val="00CE30A6"/>
    <w:rsid w:val="00D04EC2"/>
    <w:rsid w:val="00D064CA"/>
    <w:rsid w:val="00D22EA0"/>
    <w:rsid w:val="00D41020"/>
    <w:rsid w:val="00DE7FA2"/>
    <w:rsid w:val="00E2171D"/>
    <w:rsid w:val="00E247B6"/>
    <w:rsid w:val="00E606BA"/>
    <w:rsid w:val="00E773E9"/>
    <w:rsid w:val="00ED3A89"/>
    <w:rsid w:val="00F65CB1"/>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2D1837"/>
  <w15:docId w15:val="{61BA6BFF-FEE5-4F81-A6A8-88721298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paragraph" w:styleId="Heading6">
    <w:name w:val="heading 6"/>
    <w:basedOn w:val="Normal"/>
    <w:next w:val="Normal"/>
    <w:link w:val="Heading6Char"/>
    <w:uiPriority w:val="9"/>
    <w:semiHidden/>
    <w:unhideWhenUsed/>
    <w:qFormat/>
    <w:rsid w:val="00BC6390"/>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BC639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63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table" w:customStyle="1" w:styleId="TableGrid1">
    <w:name w:val="Table Grid1"/>
    <w:basedOn w:val="TableNormal"/>
    <w:next w:val="TableGrid"/>
    <w:uiPriority w:val="59"/>
    <w:rsid w:val="007F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A74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BC6390"/>
    <w:rPr>
      <w:rFonts w:asciiTheme="majorHAnsi" w:eastAsiaTheme="majorEastAsia" w:hAnsiTheme="majorHAnsi" w:cstheme="majorBidi"/>
      <w:bCs/>
      <w:i/>
      <w:iCs/>
      <w:color w:val="272727" w:themeColor="text1" w:themeTint="D8"/>
      <w:sz w:val="21"/>
      <w:szCs w:val="21"/>
    </w:rPr>
  </w:style>
  <w:style w:type="paragraph" w:styleId="BodyText3">
    <w:name w:val="Body Text 3"/>
    <w:basedOn w:val="Normal"/>
    <w:link w:val="BodyText3Char"/>
    <w:rsid w:val="00BC6390"/>
    <w:pPr>
      <w:spacing w:after="120"/>
    </w:pPr>
    <w:rPr>
      <w:rFonts w:ascii="Times New Roman" w:hAnsi="Times New Roman" w:cs="Times New Roman"/>
      <w:bCs w:val="0"/>
      <w:sz w:val="16"/>
      <w:szCs w:val="16"/>
    </w:rPr>
  </w:style>
  <w:style w:type="character" w:customStyle="1" w:styleId="BodyText3Char">
    <w:name w:val="Body Text 3 Char"/>
    <w:basedOn w:val="DefaultParagraphFont"/>
    <w:link w:val="BodyText3"/>
    <w:rsid w:val="00BC6390"/>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semiHidden/>
    <w:rsid w:val="00BC6390"/>
    <w:rPr>
      <w:rFonts w:asciiTheme="majorHAnsi" w:eastAsiaTheme="majorEastAsia" w:hAnsiTheme="majorHAnsi" w:cstheme="majorBidi"/>
      <w:bCs/>
      <w:color w:val="272727" w:themeColor="text1" w:themeTint="D8"/>
      <w:sz w:val="21"/>
      <w:szCs w:val="21"/>
    </w:rPr>
  </w:style>
  <w:style w:type="character" w:customStyle="1" w:styleId="Heading6Char">
    <w:name w:val="Heading 6 Char"/>
    <w:basedOn w:val="DefaultParagraphFont"/>
    <w:link w:val="Heading6"/>
    <w:uiPriority w:val="9"/>
    <w:semiHidden/>
    <w:rsid w:val="00BC6390"/>
    <w:rPr>
      <w:rFonts w:asciiTheme="majorHAnsi" w:eastAsiaTheme="majorEastAsia" w:hAnsiTheme="majorHAnsi" w:cstheme="majorBidi"/>
      <w:bCs/>
      <w:color w:val="243F60" w:themeColor="accent1" w:themeShade="7F"/>
    </w:rPr>
  </w:style>
  <w:style w:type="paragraph" w:styleId="BodyText">
    <w:name w:val="Body Text"/>
    <w:basedOn w:val="Normal"/>
    <w:link w:val="BodyTextChar"/>
    <w:uiPriority w:val="99"/>
    <w:semiHidden/>
    <w:unhideWhenUsed/>
    <w:rsid w:val="00BC6390"/>
    <w:pPr>
      <w:spacing w:after="120"/>
    </w:pPr>
  </w:style>
  <w:style w:type="character" w:customStyle="1" w:styleId="BodyTextChar">
    <w:name w:val="Body Text Char"/>
    <w:basedOn w:val="DefaultParagraphFont"/>
    <w:link w:val="BodyText"/>
    <w:uiPriority w:val="99"/>
    <w:semiHidden/>
    <w:rsid w:val="00BC6390"/>
    <w:rPr>
      <w:rFonts w:ascii="Palatino Linotype" w:eastAsia="Times New Roman"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vermont.gov/documents/educator-quality-licensing-ru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ducation.vermont.gov/licensing/become-an-educator/testing-requiremen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mayo\Desktop\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CF29F-8740-4C83-A68D-26262D04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aoe-basic-template.dotx</Template>
  <TotalTime>0</TotalTime>
  <Pages>4</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Transcript Review Worksheet Health</vt:lpstr>
    </vt:vector>
  </TitlesOfParts>
  <Company>Vermont Agency of Education</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Review Worksheet Health</dc:title>
  <dc:creator>Kara Mayo</dc:creator>
  <cp:keywords/>
  <cp:lastModifiedBy>Gile, Rebecca</cp:lastModifiedBy>
  <cp:revision>2</cp:revision>
  <cp:lastPrinted>2015-09-09T16:37:00Z</cp:lastPrinted>
  <dcterms:created xsi:type="dcterms:W3CDTF">2020-03-05T18:36:00Z</dcterms:created>
  <dcterms:modified xsi:type="dcterms:W3CDTF">2020-03-05T18:36:00Z</dcterms:modified>
</cp:coreProperties>
</file>