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835B" w14:textId="77777777"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VSBPE</w:t>
      </w:r>
    </w:p>
    <w:p w14:paraId="384919E5" w14:textId="439F8D76" w:rsidR="005D1999" w:rsidRPr="00006EC1"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Date: </w:t>
      </w:r>
      <w:r w:rsidR="000273BF">
        <w:rPr>
          <w:rFonts w:ascii="Palatino Linotype" w:hAnsi="Palatino Linotype"/>
          <w:b/>
          <w:sz w:val="24"/>
          <w:szCs w:val="24"/>
        </w:rPr>
        <w:t>March 9</w:t>
      </w:r>
      <w:r w:rsidR="004C04EC">
        <w:rPr>
          <w:rFonts w:ascii="Palatino Linotype" w:hAnsi="Palatino Linotype"/>
          <w:b/>
          <w:sz w:val="24"/>
          <w:szCs w:val="24"/>
        </w:rPr>
        <w:t>, 2022</w:t>
      </w:r>
    </w:p>
    <w:p w14:paraId="677325E1" w14:textId="4AA5071A" w:rsidR="005D1999" w:rsidRPr="005E7622" w:rsidRDefault="005D1999" w:rsidP="00E12C1E">
      <w:pPr>
        <w:spacing w:after="0"/>
        <w:rPr>
          <w:rFonts w:ascii="Palatino Linotype" w:hAnsi="Palatino Linotype"/>
          <w:bCs/>
          <w:sz w:val="24"/>
          <w:szCs w:val="24"/>
        </w:rPr>
      </w:pPr>
      <w:r w:rsidRPr="00006EC1">
        <w:rPr>
          <w:rFonts w:ascii="Palatino Linotype" w:hAnsi="Palatino Linotype"/>
          <w:b/>
          <w:sz w:val="24"/>
          <w:szCs w:val="24"/>
        </w:rPr>
        <w:t xml:space="preserve">Item: </w:t>
      </w:r>
      <w:bookmarkStart w:id="0" w:name="_Hlk25579822"/>
      <w:r w:rsidR="000273BF">
        <w:rPr>
          <w:rFonts w:ascii="Palatino Linotype" w:hAnsi="Palatino Linotype"/>
          <w:b/>
          <w:sz w:val="24"/>
          <w:szCs w:val="24"/>
        </w:rPr>
        <w:t>Saint Michael’s College Shortened Student Teaching Contingency Plan</w:t>
      </w:r>
    </w:p>
    <w:bookmarkEnd w:id="0"/>
    <w:p w14:paraId="478111B6" w14:textId="77777777" w:rsidR="005D1999" w:rsidRPr="00006EC1" w:rsidRDefault="005D1999" w:rsidP="005D1999">
      <w:pPr>
        <w:spacing w:after="0"/>
        <w:rPr>
          <w:rFonts w:ascii="Palatino Linotype" w:hAnsi="Palatino Linotype"/>
          <w:b/>
          <w:sz w:val="24"/>
          <w:szCs w:val="24"/>
        </w:rPr>
      </w:pPr>
    </w:p>
    <w:p w14:paraId="3D915F50" w14:textId="7250C549" w:rsidR="005D1999" w:rsidRPr="00213F24" w:rsidRDefault="005D1999" w:rsidP="005D1999">
      <w:pPr>
        <w:spacing w:after="0"/>
        <w:rPr>
          <w:rFonts w:ascii="Palatino Linotype" w:hAnsi="Palatino Linotype"/>
          <w:b/>
          <w:sz w:val="24"/>
          <w:szCs w:val="24"/>
        </w:rPr>
      </w:pPr>
      <w:r w:rsidRPr="00006EC1">
        <w:rPr>
          <w:rFonts w:ascii="Palatino Linotype" w:hAnsi="Palatino Linotype"/>
          <w:b/>
          <w:sz w:val="24"/>
          <w:szCs w:val="24"/>
        </w:rPr>
        <w:t xml:space="preserve">ITEM: </w:t>
      </w:r>
      <w:r w:rsidRPr="00006EC1">
        <w:rPr>
          <w:rFonts w:ascii="Palatino Linotype" w:hAnsi="Palatino Linotype"/>
          <w:sz w:val="24"/>
          <w:szCs w:val="24"/>
        </w:rPr>
        <w:t>Shall the VSBPE</w:t>
      </w:r>
      <w:r w:rsidR="005E7622">
        <w:rPr>
          <w:rFonts w:ascii="Palatino Linotype" w:hAnsi="Palatino Linotype"/>
          <w:sz w:val="24"/>
          <w:szCs w:val="24"/>
        </w:rPr>
        <w:t xml:space="preserve"> </w:t>
      </w:r>
      <w:r w:rsidR="001228EB">
        <w:rPr>
          <w:rFonts w:ascii="Palatino Linotype" w:hAnsi="Palatino Linotype"/>
          <w:sz w:val="24"/>
          <w:szCs w:val="24"/>
        </w:rPr>
        <w:t xml:space="preserve">accept </w:t>
      </w:r>
      <w:r w:rsidR="005C2A34">
        <w:rPr>
          <w:rFonts w:ascii="Palatino Linotype" w:hAnsi="Palatino Linotype"/>
          <w:sz w:val="24"/>
          <w:szCs w:val="24"/>
        </w:rPr>
        <w:t xml:space="preserve">St. Michael’s contingency plan for </w:t>
      </w:r>
      <w:r w:rsidR="00EF612F">
        <w:rPr>
          <w:rFonts w:ascii="Palatino Linotype" w:hAnsi="Palatino Linotype"/>
          <w:sz w:val="24"/>
          <w:szCs w:val="24"/>
        </w:rPr>
        <w:t>shortened student teaching</w:t>
      </w:r>
      <w:r w:rsidR="00537D47">
        <w:rPr>
          <w:rFonts w:ascii="Palatino Linotype" w:hAnsi="Palatino Linotype"/>
          <w:sz w:val="24"/>
          <w:szCs w:val="24"/>
        </w:rPr>
        <w:t>?</w:t>
      </w:r>
    </w:p>
    <w:p w14:paraId="0D0264FF" w14:textId="77777777" w:rsidR="005D1999" w:rsidRPr="00DA6056" w:rsidRDefault="005D1999" w:rsidP="005D1999">
      <w:pPr>
        <w:spacing w:after="0"/>
        <w:rPr>
          <w:b/>
        </w:rPr>
      </w:pPr>
      <w:r w:rsidRPr="00DA6056">
        <w:rPr>
          <w:b/>
          <w:noProof/>
        </w:rPr>
        <mc:AlternateContent>
          <mc:Choice Requires="wps">
            <w:drawing>
              <wp:inline distT="0" distB="0" distL="0" distR="0" wp14:anchorId="4B1B96AA" wp14:editId="1FF468EA">
                <wp:extent cx="6309360" cy="885825"/>
                <wp:effectExtent l="0" t="0" r="1524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85825"/>
                        </a:xfrm>
                        <a:prstGeom prst="rect">
                          <a:avLst/>
                        </a:prstGeom>
                        <a:solidFill>
                          <a:srgbClr val="FFFFFF"/>
                        </a:solidFill>
                        <a:ln w="9525">
                          <a:solidFill>
                            <a:srgbClr val="000000"/>
                          </a:solidFill>
                          <a:miter lim="800000"/>
                          <a:headEnd/>
                          <a:tailEnd/>
                        </a:ln>
                      </wps:spPr>
                      <wps:txb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4B845CE3" w:rsidR="005D1999" w:rsidRPr="00F713CF" w:rsidRDefault="005D1999" w:rsidP="005D1999">
                            <w:pPr>
                              <w:rPr>
                                <w:rFonts w:ascii="Palatino Linotype" w:hAnsi="Palatino Linotype"/>
                                <w:b/>
                                <w:sz w:val="24"/>
                                <w:szCs w:val="24"/>
                              </w:rPr>
                            </w:pPr>
                            <w:r w:rsidRPr="00F713CF">
                              <w:rPr>
                                <w:rFonts w:ascii="Palatino Linotype" w:hAnsi="Palatino Linotype"/>
                                <w:b/>
                                <w:sz w:val="24"/>
                                <w:szCs w:val="24"/>
                              </w:rPr>
                              <w:t>T</w:t>
                            </w:r>
                            <w:r w:rsidR="009255EA">
                              <w:rPr>
                                <w:rFonts w:ascii="Palatino Linotype" w:hAnsi="Palatino Linotype"/>
                                <w:b/>
                                <w:sz w:val="24"/>
                                <w:szCs w:val="24"/>
                              </w:rPr>
                              <w:t xml:space="preserve">he Office does not recommend </w:t>
                            </w:r>
                            <w:r w:rsidR="00F713CF" w:rsidRPr="00F713CF">
                              <w:rPr>
                                <w:rFonts w:ascii="Palatino Linotype" w:hAnsi="Palatino Linotype"/>
                                <w:b/>
                                <w:sz w:val="24"/>
                                <w:szCs w:val="24"/>
                              </w:rPr>
                              <w:t>the VSBPE</w:t>
                            </w:r>
                            <w:r w:rsidR="0072149E">
                              <w:rPr>
                                <w:rFonts w:ascii="Palatino Linotype" w:hAnsi="Palatino Linotype"/>
                                <w:b/>
                                <w:sz w:val="24"/>
                                <w:szCs w:val="24"/>
                              </w:rPr>
                              <w:t xml:space="preserve"> accept </w:t>
                            </w:r>
                            <w:r w:rsidR="0072149E" w:rsidRPr="0072149E">
                              <w:rPr>
                                <w:rFonts w:ascii="Palatino Linotype" w:hAnsi="Palatino Linotype"/>
                                <w:b/>
                                <w:sz w:val="24"/>
                                <w:szCs w:val="24"/>
                              </w:rPr>
                              <w:t>St. Michael’s contingency plan for shortened student teaching</w:t>
                            </w:r>
                          </w:p>
                          <w:p w14:paraId="18CABFAD" w14:textId="77777777" w:rsidR="005D1999" w:rsidRPr="00E26F2F" w:rsidRDefault="005D1999" w:rsidP="005D1999">
                            <w:pPr>
                              <w:rPr>
                                <w:rFonts w:ascii="Palatino Linotype" w:hAnsi="Palatino Linotype"/>
                                <w:b/>
                                <w:sz w:val="24"/>
                                <w:szCs w:val="24"/>
                              </w:rPr>
                            </w:pPr>
                          </w:p>
                        </w:txbxContent>
                      </wps:txbx>
                      <wps:bodyPr rot="0" vert="horz" wrap="square" lIns="91440" tIns="45720" rIns="91440" bIns="45720" anchor="t" anchorCtr="0">
                        <a:noAutofit/>
                      </wps:bodyPr>
                    </wps:wsp>
                  </a:graphicData>
                </a:graphic>
              </wp:inline>
            </w:drawing>
          </mc:Choice>
          <mc:Fallback>
            <w:pict>
              <v:shapetype w14:anchorId="4B1B96AA" id="_x0000_t202" coordsize="21600,21600" o:spt="202" path="m,l,21600r21600,l21600,xe">
                <v:stroke joinstyle="miter"/>
                <v:path gradientshapeok="t" o:connecttype="rect"/>
              </v:shapetype>
              <v:shape id="Text Box 2" o:spid="_x0000_s1026" type="#_x0000_t202" style="width:496.8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">
                <v:textbox>
                  <w:txbxContent>
                    <w:p w14:paraId="172DE29A" w14:textId="77777777" w:rsidR="005D1999" w:rsidRPr="00006EC1" w:rsidRDefault="005D1999" w:rsidP="005D1999">
                      <w:pPr>
                        <w:rPr>
                          <w:rFonts w:ascii="Palatino Linotype" w:hAnsi="Palatino Linotype"/>
                          <w:b/>
                          <w:sz w:val="24"/>
                          <w:szCs w:val="24"/>
                        </w:rPr>
                      </w:pPr>
                      <w:r w:rsidRPr="00006EC1">
                        <w:rPr>
                          <w:rFonts w:ascii="Palatino Linotype" w:hAnsi="Palatino Linotype"/>
                          <w:b/>
                          <w:sz w:val="24"/>
                          <w:szCs w:val="24"/>
                        </w:rPr>
                        <w:t>AGENCY RECOMMENDED ACTION:</w:t>
                      </w:r>
                    </w:p>
                    <w:p w14:paraId="783EB5A0" w14:textId="4B845CE3" w:rsidR="005D1999" w:rsidRPr="00F713CF" w:rsidRDefault="005D1999" w:rsidP="005D1999">
                      <w:pPr>
                        <w:rPr>
                          <w:rFonts w:ascii="Palatino Linotype" w:hAnsi="Palatino Linotype"/>
                          <w:b/>
                          <w:sz w:val="24"/>
                          <w:szCs w:val="24"/>
                        </w:rPr>
                      </w:pPr>
                      <w:r w:rsidRPr="00F713CF">
                        <w:rPr>
                          <w:rFonts w:ascii="Palatino Linotype" w:hAnsi="Palatino Linotype"/>
                          <w:b/>
                          <w:sz w:val="24"/>
                          <w:szCs w:val="24"/>
                        </w:rPr>
                        <w:t>T</w:t>
                      </w:r>
                      <w:r w:rsidR="009255EA">
                        <w:rPr>
                          <w:rFonts w:ascii="Palatino Linotype" w:hAnsi="Palatino Linotype"/>
                          <w:b/>
                          <w:sz w:val="24"/>
                          <w:szCs w:val="24"/>
                        </w:rPr>
                        <w:t xml:space="preserve">he Office does not recommend </w:t>
                      </w:r>
                      <w:r w:rsidR="00F713CF" w:rsidRPr="00F713CF">
                        <w:rPr>
                          <w:rFonts w:ascii="Palatino Linotype" w:hAnsi="Palatino Linotype"/>
                          <w:b/>
                          <w:sz w:val="24"/>
                          <w:szCs w:val="24"/>
                        </w:rPr>
                        <w:t>the VSBPE</w:t>
                      </w:r>
                      <w:r w:rsidR="0072149E">
                        <w:rPr>
                          <w:rFonts w:ascii="Palatino Linotype" w:hAnsi="Palatino Linotype"/>
                          <w:b/>
                          <w:sz w:val="24"/>
                          <w:szCs w:val="24"/>
                        </w:rPr>
                        <w:t xml:space="preserve"> accept </w:t>
                      </w:r>
                      <w:r w:rsidR="0072149E" w:rsidRPr="0072149E">
                        <w:rPr>
                          <w:rFonts w:ascii="Palatino Linotype" w:hAnsi="Palatino Linotype"/>
                          <w:b/>
                          <w:sz w:val="24"/>
                          <w:szCs w:val="24"/>
                        </w:rPr>
                        <w:t>St. Michael’s contingency plan for shortened student teaching</w:t>
                      </w:r>
                    </w:p>
                    <w:p w14:paraId="18CABFAD" w14:textId="77777777" w:rsidR="005D1999" w:rsidRPr="00E26F2F" w:rsidRDefault="005D1999" w:rsidP="005D1999">
                      <w:pPr>
                        <w:rPr>
                          <w:rFonts w:ascii="Palatino Linotype" w:hAnsi="Palatino Linotype"/>
                          <w:b/>
                          <w:sz w:val="24"/>
                          <w:szCs w:val="24"/>
                        </w:rPr>
                      </w:pPr>
                    </w:p>
                  </w:txbxContent>
                </v:textbox>
                <w10:anchorlock/>
              </v:shape>
            </w:pict>
          </mc:Fallback>
        </mc:AlternateContent>
      </w:r>
    </w:p>
    <w:p w14:paraId="2FE93173" w14:textId="77777777" w:rsidR="005D1999" w:rsidRDefault="005D1999" w:rsidP="005D1999">
      <w:pPr>
        <w:spacing w:after="0"/>
        <w:rPr>
          <w:b/>
        </w:rPr>
      </w:pPr>
    </w:p>
    <w:p w14:paraId="4B39FDFD" w14:textId="77777777" w:rsidR="00915692" w:rsidRDefault="005D1999" w:rsidP="00035589">
      <w:pPr>
        <w:pStyle w:val="Header"/>
        <w:rPr>
          <w:rFonts w:ascii="Palatino Linotype" w:hAnsi="Palatino Linotype"/>
          <w:b/>
          <w:sz w:val="24"/>
          <w:szCs w:val="24"/>
        </w:rPr>
      </w:pPr>
      <w:r w:rsidRPr="000B675A">
        <w:rPr>
          <w:rFonts w:ascii="Palatino Linotype" w:hAnsi="Palatino Linotype"/>
          <w:b/>
          <w:sz w:val="24"/>
          <w:szCs w:val="24"/>
        </w:rPr>
        <w:t xml:space="preserve">BACKGROUND: </w:t>
      </w:r>
    </w:p>
    <w:p w14:paraId="2AFC5AFB" w14:textId="77777777" w:rsidR="00915692" w:rsidRDefault="00915692" w:rsidP="00035589">
      <w:pPr>
        <w:pStyle w:val="Header"/>
        <w:rPr>
          <w:rFonts w:ascii="Palatino Linotype" w:hAnsi="Palatino Linotype"/>
          <w:b/>
          <w:sz w:val="24"/>
          <w:szCs w:val="24"/>
        </w:rPr>
      </w:pPr>
    </w:p>
    <w:p w14:paraId="2669B997" w14:textId="0AD1BAEA" w:rsidR="006111E0" w:rsidRDefault="00084C64" w:rsidP="00035589">
      <w:pPr>
        <w:pStyle w:val="Header"/>
        <w:rPr>
          <w:rFonts w:ascii="Palatino Linotype" w:hAnsi="Palatino Linotype"/>
          <w:b/>
          <w:sz w:val="24"/>
          <w:szCs w:val="24"/>
        </w:rPr>
      </w:pPr>
      <w:r w:rsidRPr="00924318">
        <w:rPr>
          <w:rFonts w:ascii="Palatino Linotype" w:hAnsi="Palatino Linotype"/>
          <w:bCs/>
          <w:sz w:val="24"/>
          <w:szCs w:val="24"/>
        </w:rPr>
        <w:t>A</w:t>
      </w:r>
      <w:r w:rsidR="00924318">
        <w:rPr>
          <w:rFonts w:ascii="Palatino Linotype" w:hAnsi="Palatino Linotype"/>
          <w:bCs/>
          <w:sz w:val="24"/>
          <w:szCs w:val="24"/>
        </w:rPr>
        <w:t xml:space="preserve">fter two separate rounds of </w:t>
      </w:r>
      <w:r w:rsidR="007B2CA6">
        <w:rPr>
          <w:rFonts w:ascii="Palatino Linotype" w:hAnsi="Palatino Linotype"/>
          <w:bCs/>
          <w:sz w:val="24"/>
          <w:szCs w:val="24"/>
        </w:rPr>
        <w:t>plans for shortened student teaching due to Covid, the Board and the Agency</w:t>
      </w:r>
      <w:r w:rsidR="00FD6892">
        <w:rPr>
          <w:rFonts w:ascii="Palatino Linotype" w:hAnsi="Palatino Linotype"/>
          <w:bCs/>
          <w:sz w:val="24"/>
          <w:szCs w:val="24"/>
        </w:rPr>
        <w:t xml:space="preserve"> recommended to the </w:t>
      </w:r>
      <w:r w:rsidR="00A44763">
        <w:rPr>
          <w:rFonts w:ascii="Palatino Linotype" w:hAnsi="Palatino Linotype"/>
          <w:bCs/>
          <w:sz w:val="24"/>
          <w:szCs w:val="24"/>
        </w:rPr>
        <w:t xml:space="preserve">EPPs that they </w:t>
      </w:r>
      <w:r w:rsidR="00DD5347">
        <w:rPr>
          <w:rFonts w:ascii="Palatino Linotype" w:hAnsi="Palatino Linotype"/>
          <w:bCs/>
          <w:sz w:val="24"/>
          <w:szCs w:val="24"/>
        </w:rPr>
        <w:t xml:space="preserve">submit a plan that would cover ongoing Covid outbreaks, as well as any other valid reasons that a </w:t>
      </w:r>
      <w:r w:rsidR="00AE6B84">
        <w:rPr>
          <w:rFonts w:ascii="Palatino Linotype" w:hAnsi="Palatino Linotype"/>
          <w:bCs/>
          <w:sz w:val="24"/>
          <w:szCs w:val="24"/>
        </w:rPr>
        <w:t xml:space="preserve">student would not be able to complete the full required thirteen weeks of student teaching. </w:t>
      </w:r>
      <w:r w:rsidR="00EA728E">
        <w:rPr>
          <w:rFonts w:ascii="Palatino Linotype" w:hAnsi="Palatino Linotype"/>
          <w:bCs/>
          <w:sz w:val="24"/>
          <w:szCs w:val="24"/>
        </w:rPr>
        <w:t>The Agency drafted a sample plan, which the Board approved. This sample plan was shared with all EPPs</w:t>
      </w:r>
      <w:r w:rsidR="000117ED">
        <w:rPr>
          <w:rFonts w:ascii="Palatino Linotype" w:hAnsi="Palatino Linotype"/>
          <w:bCs/>
          <w:sz w:val="24"/>
          <w:szCs w:val="24"/>
        </w:rPr>
        <w:t xml:space="preserve">; it was their choice to submit that or some version of it for approval. </w:t>
      </w:r>
      <w:r w:rsidR="008D5591">
        <w:rPr>
          <w:rFonts w:ascii="Palatino Linotype" w:hAnsi="Palatino Linotype"/>
          <w:bCs/>
          <w:sz w:val="24"/>
          <w:szCs w:val="24"/>
        </w:rPr>
        <w:t>Most of t</w:t>
      </w:r>
      <w:r w:rsidR="000117ED">
        <w:rPr>
          <w:rFonts w:ascii="Palatino Linotype" w:hAnsi="Palatino Linotype"/>
          <w:bCs/>
          <w:sz w:val="24"/>
          <w:szCs w:val="24"/>
        </w:rPr>
        <w:t>he EPPs which have submitted their plan</w:t>
      </w:r>
      <w:r w:rsidR="008D5591">
        <w:rPr>
          <w:rFonts w:ascii="Palatino Linotype" w:hAnsi="Palatino Linotype"/>
          <w:bCs/>
          <w:sz w:val="24"/>
          <w:szCs w:val="24"/>
        </w:rPr>
        <w:t xml:space="preserve">s included the same number of required weeks </w:t>
      </w:r>
      <w:r w:rsidR="00C77A99">
        <w:rPr>
          <w:rFonts w:ascii="Palatino Linotype" w:hAnsi="Palatino Linotype"/>
          <w:bCs/>
          <w:sz w:val="24"/>
          <w:szCs w:val="24"/>
        </w:rPr>
        <w:t xml:space="preserve">(10) </w:t>
      </w:r>
      <w:r w:rsidR="008D5591">
        <w:rPr>
          <w:rFonts w:ascii="Palatino Linotype" w:hAnsi="Palatino Linotype"/>
          <w:bCs/>
          <w:sz w:val="24"/>
          <w:szCs w:val="24"/>
        </w:rPr>
        <w:t>as the sample plan</w:t>
      </w:r>
      <w:r w:rsidR="00C77A99">
        <w:rPr>
          <w:rFonts w:ascii="Palatino Linotype" w:hAnsi="Palatino Linotype"/>
          <w:bCs/>
          <w:sz w:val="24"/>
          <w:szCs w:val="24"/>
        </w:rPr>
        <w:t xml:space="preserve">, and so we have not brought those plans to the Board for approval, as they followed the already-approved sample plan. St. Michael has submitted a contingency plan which contains only </w:t>
      </w:r>
      <w:r w:rsidR="006515DD">
        <w:rPr>
          <w:rFonts w:ascii="Palatino Linotype" w:hAnsi="Palatino Linotype"/>
          <w:bCs/>
          <w:sz w:val="24"/>
          <w:szCs w:val="24"/>
        </w:rPr>
        <w:t>seven weeks of student teaching. As this differs from the approved plan, we would like the Board to make the determination on approval.</w:t>
      </w:r>
    </w:p>
    <w:p w14:paraId="09CED612" w14:textId="2F9F708D" w:rsidR="000B465B" w:rsidRDefault="000B465B" w:rsidP="0017674C">
      <w:pPr>
        <w:pStyle w:val="Header"/>
        <w:rPr>
          <w:rFonts w:ascii="Palatino Linotype" w:hAnsi="Palatino Linotype"/>
          <w:b/>
          <w:sz w:val="24"/>
          <w:szCs w:val="24"/>
        </w:rPr>
      </w:pPr>
    </w:p>
    <w:p w14:paraId="12ADACDD" w14:textId="6E8D97C7" w:rsidR="00CE0855" w:rsidRDefault="00CE0855" w:rsidP="0017674C">
      <w:pPr>
        <w:pStyle w:val="Header"/>
        <w:rPr>
          <w:rFonts w:ascii="Palatino Linotype" w:hAnsi="Palatino Linotype"/>
          <w:b/>
          <w:sz w:val="24"/>
          <w:szCs w:val="24"/>
        </w:rPr>
      </w:pPr>
    </w:p>
    <w:p w14:paraId="4904979E" w14:textId="503958A5" w:rsidR="00CE0855" w:rsidRDefault="00CE0855" w:rsidP="0017674C">
      <w:pPr>
        <w:pStyle w:val="Header"/>
        <w:rPr>
          <w:rFonts w:ascii="Palatino Linotype" w:hAnsi="Palatino Linotype"/>
          <w:b/>
          <w:sz w:val="24"/>
          <w:szCs w:val="24"/>
        </w:rPr>
      </w:pPr>
    </w:p>
    <w:p w14:paraId="29518336" w14:textId="1879D2CA" w:rsidR="00C76361" w:rsidRDefault="00915692" w:rsidP="00D37AC8">
      <w:pPr>
        <w:pStyle w:val="Header"/>
        <w:rPr>
          <w:rFonts w:ascii="Palatino Linotype" w:hAnsi="Palatino Linotype"/>
          <w:b/>
          <w:sz w:val="24"/>
          <w:szCs w:val="24"/>
        </w:rPr>
      </w:pPr>
      <w:r>
        <w:rPr>
          <w:rFonts w:ascii="Palatino Linotype" w:hAnsi="Palatino Linotype"/>
          <w:b/>
          <w:sz w:val="24"/>
          <w:szCs w:val="24"/>
        </w:rPr>
        <w:t>SUPPORTING DOCUMENT</w:t>
      </w:r>
      <w:r w:rsidR="004E7B35">
        <w:rPr>
          <w:rFonts w:ascii="Palatino Linotype" w:hAnsi="Palatino Linotype"/>
          <w:b/>
          <w:sz w:val="24"/>
          <w:szCs w:val="24"/>
        </w:rPr>
        <w:t>ATION</w:t>
      </w:r>
      <w:r>
        <w:rPr>
          <w:rFonts w:ascii="Palatino Linotype" w:hAnsi="Palatino Linotype"/>
          <w:b/>
          <w:sz w:val="24"/>
          <w:szCs w:val="24"/>
        </w:rPr>
        <w:t>:</w:t>
      </w:r>
    </w:p>
    <w:p w14:paraId="2CD2D1AD" w14:textId="2EC29830" w:rsidR="00915692" w:rsidRDefault="00915692" w:rsidP="00D37AC8">
      <w:pPr>
        <w:pStyle w:val="Header"/>
        <w:rPr>
          <w:rFonts w:ascii="Palatino Linotype" w:hAnsi="Palatino Linotype"/>
          <w:b/>
          <w:sz w:val="24"/>
          <w:szCs w:val="24"/>
        </w:rPr>
      </w:pPr>
    </w:p>
    <w:p w14:paraId="5882D152" w14:textId="77777777" w:rsidR="00F57F53" w:rsidRPr="00F57F53" w:rsidRDefault="00F57F53" w:rsidP="00F57F53">
      <w:pPr>
        <w:pStyle w:val="Header"/>
        <w:rPr>
          <w:rFonts w:ascii="Palatino Linotype" w:hAnsi="Palatino Linotype"/>
          <w:bCs/>
          <w:sz w:val="24"/>
          <w:szCs w:val="24"/>
        </w:rPr>
      </w:pPr>
      <w:r w:rsidRPr="00F57F53">
        <w:rPr>
          <w:rFonts w:ascii="Palatino Linotype" w:hAnsi="Palatino Linotype"/>
          <w:bCs/>
          <w:sz w:val="24"/>
          <w:szCs w:val="24"/>
        </w:rPr>
        <w:t>Saint Michael’s College Student Teaching Policy for Teaching Less than the Required 13 Weeks</w:t>
      </w:r>
    </w:p>
    <w:p w14:paraId="2DA52BD4" w14:textId="77777777" w:rsidR="00F57F53" w:rsidRPr="00F57F53" w:rsidRDefault="00F57F53" w:rsidP="00F57F53">
      <w:pPr>
        <w:pStyle w:val="Header"/>
        <w:rPr>
          <w:rFonts w:ascii="Palatino Linotype" w:hAnsi="Palatino Linotype"/>
          <w:bCs/>
          <w:sz w:val="24"/>
          <w:szCs w:val="24"/>
        </w:rPr>
      </w:pPr>
      <w:r w:rsidRPr="00F57F53">
        <w:rPr>
          <w:rFonts w:ascii="Palatino Linotype" w:hAnsi="Palatino Linotype"/>
          <w:bCs/>
          <w:sz w:val="24"/>
          <w:szCs w:val="24"/>
        </w:rPr>
        <w:t> </w:t>
      </w:r>
    </w:p>
    <w:p w14:paraId="348F3337" w14:textId="77777777" w:rsidR="00F57F53" w:rsidRPr="00F57F53" w:rsidRDefault="00F57F53" w:rsidP="00F57F53">
      <w:pPr>
        <w:pStyle w:val="Header"/>
        <w:numPr>
          <w:ilvl w:val="0"/>
          <w:numId w:val="3"/>
        </w:numPr>
        <w:rPr>
          <w:rFonts w:ascii="Palatino Linotype" w:hAnsi="Palatino Linotype"/>
          <w:bCs/>
          <w:sz w:val="24"/>
          <w:szCs w:val="24"/>
        </w:rPr>
      </w:pPr>
      <w:r w:rsidRPr="00F57F53">
        <w:rPr>
          <w:rFonts w:ascii="Palatino Linotype" w:hAnsi="Palatino Linotype"/>
          <w:bCs/>
          <w:sz w:val="24"/>
          <w:szCs w:val="24"/>
        </w:rPr>
        <w:t>The education department chair and the licensing coordinator will review the reason for the inability to complete the required 13 weeks of student teaching. Both must agree that the reason is valid. Acceptable reasons may include illness, family emergency, or circumstances outside the control of the individual. </w:t>
      </w:r>
    </w:p>
    <w:p w14:paraId="74AC9E98" w14:textId="77777777" w:rsidR="00F57F53" w:rsidRPr="00F57F53" w:rsidRDefault="00F57F53" w:rsidP="00F57F53">
      <w:pPr>
        <w:pStyle w:val="Header"/>
        <w:rPr>
          <w:rFonts w:ascii="Palatino Linotype" w:hAnsi="Palatino Linotype"/>
          <w:bCs/>
          <w:sz w:val="24"/>
          <w:szCs w:val="24"/>
        </w:rPr>
      </w:pPr>
      <w:r w:rsidRPr="00F57F53">
        <w:rPr>
          <w:rFonts w:ascii="Palatino Linotype" w:hAnsi="Palatino Linotype"/>
          <w:bCs/>
          <w:sz w:val="24"/>
          <w:szCs w:val="24"/>
        </w:rPr>
        <w:t> </w:t>
      </w:r>
    </w:p>
    <w:p w14:paraId="1D4D105A" w14:textId="051B36A0" w:rsidR="00F57F53" w:rsidRPr="00F57F53" w:rsidRDefault="00F57F53" w:rsidP="00F57F53">
      <w:pPr>
        <w:pStyle w:val="Header"/>
        <w:numPr>
          <w:ilvl w:val="0"/>
          <w:numId w:val="3"/>
        </w:numPr>
        <w:rPr>
          <w:rFonts w:ascii="Palatino Linotype" w:hAnsi="Palatino Linotype"/>
          <w:bCs/>
          <w:sz w:val="24"/>
          <w:szCs w:val="24"/>
        </w:rPr>
      </w:pPr>
      <w:r w:rsidRPr="00F57F53">
        <w:rPr>
          <w:rFonts w:ascii="Palatino Linotype" w:hAnsi="Palatino Linotype"/>
          <w:bCs/>
          <w:sz w:val="24"/>
          <w:szCs w:val="24"/>
        </w:rPr>
        <w:t>At least seven of the required 13 weeks have been completed and the required evidence for the VLP part II have been completed.</w:t>
      </w:r>
    </w:p>
    <w:p w14:paraId="30790C29" w14:textId="77777777" w:rsidR="00F57F53" w:rsidRPr="00F57F53" w:rsidRDefault="00F57F53" w:rsidP="00F57F53">
      <w:pPr>
        <w:pStyle w:val="Header"/>
        <w:rPr>
          <w:rFonts w:ascii="Palatino Linotype" w:hAnsi="Palatino Linotype"/>
          <w:bCs/>
          <w:sz w:val="24"/>
          <w:szCs w:val="24"/>
        </w:rPr>
      </w:pPr>
      <w:r w:rsidRPr="00F57F53">
        <w:rPr>
          <w:rFonts w:ascii="Palatino Linotype" w:hAnsi="Palatino Linotype"/>
          <w:bCs/>
          <w:sz w:val="24"/>
          <w:szCs w:val="24"/>
        </w:rPr>
        <w:t> </w:t>
      </w:r>
    </w:p>
    <w:p w14:paraId="2ED454F7" w14:textId="33D51EF4" w:rsidR="00F57F53" w:rsidRPr="00F57F53" w:rsidRDefault="00F57F53" w:rsidP="00F57F53">
      <w:pPr>
        <w:pStyle w:val="Header"/>
        <w:numPr>
          <w:ilvl w:val="0"/>
          <w:numId w:val="3"/>
        </w:numPr>
        <w:rPr>
          <w:rFonts w:ascii="Palatino Linotype" w:hAnsi="Palatino Linotype"/>
          <w:bCs/>
          <w:sz w:val="24"/>
          <w:szCs w:val="24"/>
        </w:rPr>
      </w:pPr>
      <w:r w:rsidRPr="00F57F53">
        <w:rPr>
          <w:rFonts w:ascii="Palatino Linotype" w:hAnsi="Palatino Linotype"/>
          <w:bCs/>
          <w:sz w:val="24"/>
          <w:szCs w:val="24"/>
        </w:rPr>
        <w:lastRenderedPageBreak/>
        <w:t>The mentor/cooperating teacher and the supervisor sign a form attesting that the candidate has fulfilled all the requirements of student teaching and is ready to assume responsibility for their own classroom.</w:t>
      </w:r>
    </w:p>
    <w:p w14:paraId="22CC59EE" w14:textId="77777777" w:rsidR="00F57F53" w:rsidRPr="00F57F53" w:rsidRDefault="00F57F53" w:rsidP="00F57F53">
      <w:pPr>
        <w:pStyle w:val="Header"/>
        <w:rPr>
          <w:rFonts w:ascii="Palatino Linotype" w:hAnsi="Palatino Linotype"/>
          <w:bCs/>
          <w:sz w:val="24"/>
          <w:szCs w:val="24"/>
        </w:rPr>
      </w:pPr>
      <w:r w:rsidRPr="00F57F53">
        <w:rPr>
          <w:rFonts w:ascii="Palatino Linotype" w:hAnsi="Palatino Linotype"/>
          <w:bCs/>
          <w:sz w:val="24"/>
          <w:szCs w:val="24"/>
        </w:rPr>
        <w:t> </w:t>
      </w:r>
    </w:p>
    <w:p w14:paraId="14A2BCE8" w14:textId="52942CBD" w:rsidR="00F57F53" w:rsidRDefault="00F57F53" w:rsidP="00F57F53">
      <w:pPr>
        <w:pStyle w:val="Header"/>
        <w:numPr>
          <w:ilvl w:val="0"/>
          <w:numId w:val="3"/>
        </w:numPr>
        <w:rPr>
          <w:rFonts w:ascii="Palatino Linotype" w:hAnsi="Palatino Linotype"/>
          <w:bCs/>
          <w:sz w:val="24"/>
          <w:szCs w:val="24"/>
        </w:rPr>
      </w:pPr>
      <w:r w:rsidRPr="00F57F53">
        <w:rPr>
          <w:rFonts w:ascii="Palatino Linotype" w:hAnsi="Palatino Linotype"/>
          <w:bCs/>
          <w:sz w:val="24"/>
          <w:szCs w:val="24"/>
        </w:rPr>
        <w:t>Saint Michael’s College will keep a record of recommended candidates who did not complete the full 13 weeks and track this data in their follow-up surveys of recommended candidates. This data will be reported as part of the evidence presented in ongoing ROPA reviews.</w:t>
      </w:r>
    </w:p>
    <w:p w14:paraId="27DF209A" w14:textId="77777777" w:rsidR="00F57F53" w:rsidRDefault="00F57F53" w:rsidP="00F57F53">
      <w:pPr>
        <w:pStyle w:val="ListParagraph"/>
        <w:rPr>
          <w:rFonts w:ascii="Palatino Linotype" w:hAnsi="Palatino Linotype"/>
          <w:bCs/>
          <w:sz w:val="24"/>
          <w:szCs w:val="24"/>
        </w:rPr>
      </w:pPr>
    </w:p>
    <w:p w14:paraId="19853F6E" w14:textId="6D1A245B" w:rsidR="00F57F53" w:rsidRDefault="004E7B35" w:rsidP="00F57F53">
      <w:pPr>
        <w:pStyle w:val="Header"/>
        <w:rPr>
          <w:rFonts w:ascii="Palatino Linotype" w:hAnsi="Palatino Linotype"/>
          <w:bCs/>
          <w:sz w:val="24"/>
          <w:szCs w:val="24"/>
        </w:rPr>
      </w:pPr>
      <w:r>
        <w:rPr>
          <w:rFonts w:ascii="Palatino Linotype" w:hAnsi="Palatino Linotype"/>
          <w:bCs/>
          <w:sz w:val="24"/>
          <w:szCs w:val="24"/>
        </w:rPr>
        <w:t>Sample Contingency Plan</w:t>
      </w:r>
      <w:r w:rsidR="008E2931">
        <w:rPr>
          <w:rFonts w:ascii="Palatino Linotype" w:hAnsi="Palatino Linotype"/>
          <w:bCs/>
          <w:sz w:val="24"/>
          <w:szCs w:val="24"/>
        </w:rPr>
        <w:t>:</w:t>
      </w:r>
    </w:p>
    <w:p w14:paraId="1EF199E4" w14:textId="35A989C9" w:rsidR="008E2931" w:rsidRDefault="008E2931" w:rsidP="00F57F53">
      <w:pPr>
        <w:pStyle w:val="Header"/>
        <w:rPr>
          <w:rFonts w:ascii="Palatino Linotype" w:hAnsi="Palatino Linotype"/>
          <w:bCs/>
          <w:sz w:val="24"/>
          <w:szCs w:val="24"/>
        </w:rPr>
      </w:pPr>
    </w:p>
    <w:p w14:paraId="2D81CE3C" w14:textId="77777777" w:rsidR="006D1910" w:rsidRPr="006D1910" w:rsidRDefault="006D1910" w:rsidP="006D1910">
      <w:pPr>
        <w:pStyle w:val="Header"/>
        <w:numPr>
          <w:ilvl w:val="0"/>
          <w:numId w:val="7"/>
        </w:numPr>
        <w:rPr>
          <w:rFonts w:ascii="Palatino Linotype" w:hAnsi="Palatino Linotype"/>
          <w:bCs/>
          <w:sz w:val="24"/>
          <w:szCs w:val="24"/>
        </w:rPr>
      </w:pPr>
      <w:r w:rsidRPr="006D1910">
        <w:rPr>
          <w:rFonts w:ascii="Palatino Linotype" w:hAnsi="Palatino Linotype"/>
          <w:bCs/>
          <w:sz w:val="24"/>
          <w:szCs w:val="24"/>
        </w:rPr>
        <w:t>A panel of three faculty members will review the reason for the invoking of the policy to determine if it is unexpected and unavoidable leading to an inability to complete the required 13 weeks of student teaching. At least two of the three panelists must agree that the reason is valid.</w:t>
      </w:r>
    </w:p>
    <w:p w14:paraId="67D19FB2" w14:textId="77777777" w:rsidR="006D1910" w:rsidRPr="006D1910" w:rsidRDefault="006D1910" w:rsidP="006D1910">
      <w:pPr>
        <w:pStyle w:val="Header"/>
        <w:rPr>
          <w:rFonts w:ascii="Palatino Linotype" w:hAnsi="Palatino Linotype"/>
          <w:bCs/>
          <w:sz w:val="24"/>
          <w:szCs w:val="24"/>
        </w:rPr>
      </w:pPr>
    </w:p>
    <w:p w14:paraId="6FE86FF0" w14:textId="77777777" w:rsidR="006D1910" w:rsidRPr="006D1910" w:rsidRDefault="006D1910" w:rsidP="006D1910">
      <w:pPr>
        <w:pStyle w:val="Header"/>
        <w:numPr>
          <w:ilvl w:val="0"/>
          <w:numId w:val="7"/>
        </w:numPr>
        <w:rPr>
          <w:rFonts w:ascii="Palatino Linotype" w:hAnsi="Palatino Linotype"/>
          <w:bCs/>
          <w:sz w:val="24"/>
          <w:szCs w:val="24"/>
        </w:rPr>
      </w:pPr>
      <w:r w:rsidRPr="006D1910">
        <w:rPr>
          <w:rFonts w:ascii="Palatino Linotype" w:hAnsi="Palatino Linotype"/>
          <w:bCs/>
          <w:sz w:val="24"/>
          <w:szCs w:val="24"/>
        </w:rPr>
        <w:t>At least ten of the required 13 weeks have been completed. The ten weeks can be non-consecutive so long as they occur during the same school year with the same cohort of students.</w:t>
      </w:r>
    </w:p>
    <w:p w14:paraId="431B4931" w14:textId="77777777" w:rsidR="006D1910" w:rsidRPr="006D1910" w:rsidRDefault="006D1910" w:rsidP="006D1910">
      <w:pPr>
        <w:pStyle w:val="Header"/>
        <w:rPr>
          <w:rFonts w:ascii="Palatino Linotype" w:hAnsi="Palatino Linotype"/>
          <w:bCs/>
          <w:sz w:val="24"/>
          <w:szCs w:val="24"/>
        </w:rPr>
      </w:pPr>
    </w:p>
    <w:p w14:paraId="08D3B226" w14:textId="77777777" w:rsidR="006D1910" w:rsidRPr="006D1910" w:rsidRDefault="006D1910" w:rsidP="006D1910">
      <w:pPr>
        <w:pStyle w:val="Header"/>
        <w:numPr>
          <w:ilvl w:val="0"/>
          <w:numId w:val="7"/>
        </w:numPr>
        <w:rPr>
          <w:rFonts w:ascii="Palatino Linotype" w:hAnsi="Palatino Linotype"/>
          <w:bCs/>
          <w:sz w:val="24"/>
          <w:szCs w:val="24"/>
        </w:rPr>
      </w:pPr>
      <w:r w:rsidRPr="006D1910">
        <w:rPr>
          <w:rFonts w:ascii="Palatino Linotype" w:hAnsi="Palatino Linotype"/>
          <w:bCs/>
          <w:sz w:val="24"/>
          <w:szCs w:val="24"/>
        </w:rPr>
        <w:t xml:space="preserve">The mentor/cooperating teacher and the university supervisor sign a form attesting that the candidate has fulfilled all the requirements of student teaching and is ready to assume responsibility for his/her own classroom. </w:t>
      </w:r>
    </w:p>
    <w:p w14:paraId="3C660B03" w14:textId="77777777" w:rsidR="006D1910" w:rsidRPr="006D1910" w:rsidRDefault="006D1910" w:rsidP="006D1910">
      <w:pPr>
        <w:pStyle w:val="Header"/>
        <w:rPr>
          <w:rFonts w:ascii="Palatino Linotype" w:hAnsi="Palatino Linotype"/>
          <w:bCs/>
          <w:sz w:val="24"/>
          <w:szCs w:val="24"/>
        </w:rPr>
      </w:pPr>
    </w:p>
    <w:p w14:paraId="31C13633" w14:textId="77777777" w:rsidR="006D1910" w:rsidRPr="006D1910" w:rsidRDefault="006D1910" w:rsidP="006D1910">
      <w:pPr>
        <w:pStyle w:val="Header"/>
        <w:numPr>
          <w:ilvl w:val="0"/>
          <w:numId w:val="7"/>
        </w:numPr>
        <w:rPr>
          <w:rFonts w:ascii="Palatino Linotype" w:hAnsi="Palatino Linotype"/>
          <w:bCs/>
          <w:sz w:val="24"/>
          <w:szCs w:val="24"/>
        </w:rPr>
      </w:pPr>
      <w:r w:rsidRPr="006D1910">
        <w:rPr>
          <w:rFonts w:ascii="Palatino Linotype" w:hAnsi="Palatino Linotype"/>
          <w:bCs/>
          <w:sz w:val="24"/>
          <w:szCs w:val="24"/>
        </w:rPr>
        <w:t>EPPs will keep a record of recommended candidates who did not complete the full 13 weeks and track this data in their follow-up surveys of recommended candidates and employers who hire them. This data will be reported to the VSBPE every three years and be part of the evidence presented in ongoing ROPA reviews.</w:t>
      </w:r>
    </w:p>
    <w:p w14:paraId="5C4920A3" w14:textId="77777777" w:rsidR="006D1910" w:rsidRPr="006D1910" w:rsidRDefault="006D1910" w:rsidP="006D1910">
      <w:pPr>
        <w:pStyle w:val="Header"/>
        <w:rPr>
          <w:rFonts w:ascii="Palatino Linotype" w:hAnsi="Palatino Linotype"/>
          <w:bCs/>
          <w:sz w:val="24"/>
          <w:szCs w:val="24"/>
        </w:rPr>
      </w:pPr>
    </w:p>
    <w:p w14:paraId="7C490EEA" w14:textId="77777777" w:rsidR="006D1910" w:rsidRPr="006D1910" w:rsidRDefault="006D1910" w:rsidP="006D1910">
      <w:pPr>
        <w:pStyle w:val="Header"/>
        <w:rPr>
          <w:rFonts w:ascii="Palatino Linotype" w:hAnsi="Palatino Linotype"/>
          <w:bCs/>
          <w:sz w:val="24"/>
          <w:szCs w:val="24"/>
        </w:rPr>
      </w:pPr>
    </w:p>
    <w:p w14:paraId="4417A236" w14:textId="77777777" w:rsidR="008E2931" w:rsidRPr="00F57F53" w:rsidRDefault="008E2931" w:rsidP="00F57F53">
      <w:pPr>
        <w:pStyle w:val="Header"/>
        <w:rPr>
          <w:rFonts w:ascii="Palatino Linotype" w:hAnsi="Palatino Linotype"/>
          <w:bCs/>
          <w:sz w:val="24"/>
          <w:szCs w:val="24"/>
        </w:rPr>
      </w:pPr>
    </w:p>
    <w:p w14:paraId="7A554812" w14:textId="77777777" w:rsidR="00915692" w:rsidRPr="003444E6" w:rsidRDefault="00915692" w:rsidP="00D37AC8">
      <w:pPr>
        <w:pStyle w:val="Header"/>
        <w:rPr>
          <w:rFonts w:ascii="Palatino Linotype" w:hAnsi="Palatino Linotype"/>
          <w:bCs/>
          <w:sz w:val="24"/>
          <w:szCs w:val="24"/>
        </w:rPr>
      </w:pPr>
    </w:p>
    <w:sectPr w:rsidR="00915692" w:rsidRPr="003444E6" w:rsidSect="00256309">
      <w:footerReference w:type="default" r:id="rId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DB8F" w14:textId="77777777" w:rsidR="001B22BD" w:rsidRDefault="001B22BD">
      <w:pPr>
        <w:spacing w:after="0" w:line="240" w:lineRule="auto"/>
      </w:pPr>
      <w:r>
        <w:separator/>
      </w:r>
    </w:p>
  </w:endnote>
  <w:endnote w:type="continuationSeparator" w:id="0">
    <w:p w14:paraId="347E7FEF" w14:textId="77777777" w:rsidR="001B22BD" w:rsidRDefault="001B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41"/>
      <w:gridCol w:w="1584"/>
      <w:gridCol w:w="3635"/>
    </w:tblGrid>
    <w:tr w:rsidR="00796D5F" w14:paraId="1B1C8621" w14:textId="77777777" w:rsidTr="00F53994">
      <w:trPr>
        <w:cantSplit/>
        <w:trHeight w:val="633"/>
        <w:tblHeader/>
      </w:trPr>
      <w:tc>
        <w:tcPr>
          <w:tcW w:w="4248" w:type="dxa"/>
        </w:tcPr>
        <w:p w14:paraId="61E498E7" w14:textId="6C8FD1D4" w:rsidR="00982BDF" w:rsidRPr="00782E31" w:rsidRDefault="00782E31" w:rsidP="00796D5F">
          <w:pPr>
            <w:rPr>
              <w:rFonts w:cstheme="minorHAnsi"/>
              <w:bCs/>
              <w:sz w:val="20"/>
              <w:szCs w:val="20"/>
            </w:rPr>
          </w:pPr>
          <w:r w:rsidRPr="00782E31">
            <w:rPr>
              <w:rFonts w:cstheme="minorHAnsi"/>
              <w:bCs/>
              <w:sz w:val="20"/>
              <w:szCs w:val="20"/>
            </w:rPr>
            <w:t>Saint Michael’s College Shortened Student Teaching Contingency Plan</w:t>
          </w:r>
        </w:p>
      </w:tc>
      <w:tc>
        <w:tcPr>
          <w:tcW w:w="1620" w:type="dxa"/>
        </w:tcPr>
        <w:p w14:paraId="19CAC45D" w14:textId="77777777" w:rsidR="00796D5F" w:rsidRPr="00937FFC" w:rsidRDefault="00D978A4"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Pr>
              <w:b/>
              <w:noProof/>
              <w:sz w:val="20"/>
            </w:rPr>
            <w:t>3</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Pr="00B521D2">
            <w:rPr>
              <w:b/>
              <w:noProof/>
              <w:sz w:val="20"/>
            </w:rPr>
            <w:t>3</w:t>
          </w:r>
          <w:r w:rsidRPr="00937FFC">
            <w:rPr>
              <w:b/>
              <w:noProof/>
              <w:sz w:val="20"/>
            </w:rPr>
            <w:fldChar w:fldCharType="end"/>
          </w:r>
        </w:p>
      </w:tc>
      <w:tc>
        <w:tcPr>
          <w:tcW w:w="3708" w:type="dxa"/>
        </w:tcPr>
        <w:p w14:paraId="12DBF396" w14:textId="77777777" w:rsidR="00796D5F" w:rsidRPr="00937FFC" w:rsidRDefault="00D978A4" w:rsidP="00796D5F">
          <w:pPr>
            <w:jc w:val="right"/>
            <w:rPr>
              <w:sz w:val="20"/>
              <w:szCs w:val="18"/>
            </w:rPr>
          </w:pPr>
          <w:r w:rsidRPr="00937FFC">
            <w:rPr>
              <w:noProof/>
              <w:sz w:val="20"/>
            </w:rPr>
            <w:drawing>
              <wp:inline distT="0" distB="0" distL="0" distR="0" wp14:anchorId="14C902E1" wp14:editId="7E803CAA">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0526227" w14:textId="77777777" w:rsidR="00796D5F" w:rsidRDefault="007E1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04A1" w14:textId="77777777" w:rsidR="001B22BD" w:rsidRDefault="001B22BD">
      <w:pPr>
        <w:spacing w:after="0" w:line="240" w:lineRule="auto"/>
      </w:pPr>
      <w:r>
        <w:separator/>
      </w:r>
    </w:p>
  </w:footnote>
  <w:footnote w:type="continuationSeparator" w:id="0">
    <w:p w14:paraId="31E938E3" w14:textId="77777777" w:rsidR="001B22BD" w:rsidRDefault="001B2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405"/>
    <w:multiLevelType w:val="hybridMultilevel"/>
    <w:tmpl w:val="C0E6E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CB2A5C"/>
    <w:multiLevelType w:val="multilevel"/>
    <w:tmpl w:val="86084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A74F2A"/>
    <w:multiLevelType w:val="multilevel"/>
    <w:tmpl w:val="7DD6F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13686"/>
    <w:multiLevelType w:val="hybridMultilevel"/>
    <w:tmpl w:val="2AF20A94"/>
    <w:lvl w:ilvl="0" w:tplc="8398BD00">
      <w:start w:val="1"/>
      <w:numFmt w:val="bullet"/>
      <w:lvlText w:val="-"/>
      <w:lvlJc w:val="left"/>
      <w:pPr>
        <w:ind w:left="720" w:hanging="360"/>
      </w:pPr>
      <w:rPr>
        <w:rFonts w:ascii="Palatino Linotype" w:eastAsiaTheme="minorHAnsi" w:hAnsi="Palatino Linotype"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020F9"/>
    <w:multiLevelType w:val="multilevel"/>
    <w:tmpl w:val="34588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B22914"/>
    <w:multiLevelType w:val="multilevel"/>
    <w:tmpl w:val="47004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6C712C"/>
    <w:multiLevelType w:val="hybridMultilevel"/>
    <w:tmpl w:val="D7E86CD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7B65F8B"/>
    <w:multiLevelType w:val="hybridMultilevel"/>
    <w:tmpl w:val="CBDEA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lvlOverride w:ilvl="0">
      <w:lvl w:ilvl="0">
        <w:numFmt w:val="decimal"/>
        <w:lvlText w:val="%1."/>
        <w:lvlJc w:val="left"/>
      </w:lvl>
    </w:lvlOverride>
  </w:num>
  <w:num w:numId="5">
    <w:abstractNumId w:val="1"/>
    <w:lvlOverride w:ilvl="0">
      <w:lvl w:ilvl="0">
        <w:numFmt w:val="decimal"/>
        <w:lvlText w:val="%1."/>
        <w:lvlJc w:val="left"/>
      </w:lvl>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99"/>
    <w:rsid w:val="000117ED"/>
    <w:rsid w:val="000273BF"/>
    <w:rsid w:val="00033D49"/>
    <w:rsid w:val="00035589"/>
    <w:rsid w:val="0004552B"/>
    <w:rsid w:val="00064829"/>
    <w:rsid w:val="00080659"/>
    <w:rsid w:val="00084C64"/>
    <w:rsid w:val="000B465B"/>
    <w:rsid w:val="000D0141"/>
    <w:rsid w:val="000D6982"/>
    <w:rsid w:val="000F6BFF"/>
    <w:rsid w:val="00107D5F"/>
    <w:rsid w:val="0011006E"/>
    <w:rsid w:val="001228EB"/>
    <w:rsid w:val="00145B4D"/>
    <w:rsid w:val="00153A74"/>
    <w:rsid w:val="0017674C"/>
    <w:rsid w:val="001B22BD"/>
    <w:rsid w:val="001F46B1"/>
    <w:rsid w:val="00222FCC"/>
    <w:rsid w:val="00226F44"/>
    <w:rsid w:val="002541F7"/>
    <w:rsid w:val="002558B5"/>
    <w:rsid w:val="00281D49"/>
    <w:rsid w:val="002C390C"/>
    <w:rsid w:val="002E444D"/>
    <w:rsid w:val="003319D3"/>
    <w:rsid w:val="003444E6"/>
    <w:rsid w:val="003B02B7"/>
    <w:rsid w:val="003B1F0E"/>
    <w:rsid w:val="003B2D98"/>
    <w:rsid w:val="003F3539"/>
    <w:rsid w:val="003F4376"/>
    <w:rsid w:val="003F4EBF"/>
    <w:rsid w:val="004035F7"/>
    <w:rsid w:val="004B1181"/>
    <w:rsid w:val="004C04EC"/>
    <w:rsid w:val="004C0C51"/>
    <w:rsid w:val="004D1BA0"/>
    <w:rsid w:val="004E7B35"/>
    <w:rsid w:val="00505157"/>
    <w:rsid w:val="00517B5A"/>
    <w:rsid w:val="00537D47"/>
    <w:rsid w:val="00582F68"/>
    <w:rsid w:val="0058301C"/>
    <w:rsid w:val="00590B7E"/>
    <w:rsid w:val="005A51D2"/>
    <w:rsid w:val="005B17FB"/>
    <w:rsid w:val="005C2A34"/>
    <w:rsid w:val="005C73E7"/>
    <w:rsid w:val="005D1999"/>
    <w:rsid w:val="005E7622"/>
    <w:rsid w:val="00601B11"/>
    <w:rsid w:val="006111E0"/>
    <w:rsid w:val="00636452"/>
    <w:rsid w:val="00644C96"/>
    <w:rsid w:val="006515DD"/>
    <w:rsid w:val="00661EA0"/>
    <w:rsid w:val="00693146"/>
    <w:rsid w:val="006D1210"/>
    <w:rsid w:val="006D1910"/>
    <w:rsid w:val="00705421"/>
    <w:rsid w:val="0072149E"/>
    <w:rsid w:val="00727B21"/>
    <w:rsid w:val="007463A5"/>
    <w:rsid w:val="00763BA1"/>
    <w:rsid w:val="00777036"/>
    <w:rsid w:val="00782E31"/>
    <w:rsid w:val="007B2CA6"/>
    <w:rsid w:val="008033B3"/>
    <w:rsid w:val="00827A60"/>
    <w:rsid w:val="00870098"/>
    <w:rsid w:val="008C0078"/>
    <w:rsid w:val="008D5591"/>
    <w:rsid w:val="008E2931"/>
    <w:rsid w:val="0091313E"/>
    <w:rsid w:val="00915692"/>
    <w:rsid w:val="009168D6"/>
    <w:rsid w:val="00924318"/>
    <w:rsid w:val="009255EA"/>
    <w:rsid w:val="00932DE1"/>
    <w:rsid w:val="009B46B4"/>
    <w:rsid w:val="009D1702"/>
    <w:rsid w:val="009E54C8"/>
    <w:rsid w:val="009F1691"/>
    <w:rsid w:val="00A111C3"/>
    <w:rsid w:val="00A23636"/>
    <w:rsid w:val="00A26511"/>
    <w:rsid w:val="00A44763"/>
    <w:rsid w:val="00A460AB"/>
    <w:rsid w:val="00A464C5"/>
    <w:rsid w:val="00A53D4A"/>
    <w:rsid w:val="00A56A6A"/>
    <w:rsid w:val="00AD3212"/>
    <w:rsid w:val="00AE1383"/>
    <w:rsid w:val="00AE3D4E"/>
    <w:rsid w:val="00AE6B84"/>
    <w:rsid w:val="00B762B9"/>
    <w:rsid w:val="00B81343"/>
    <w:rsid w:val="00B95492"/>
    <w:rsid w:val="00BA4ED9"/>
    <w:rsid w:val="00BF7C38"/>
    <w:rsid w:val="00C22FE4"/>
    <w:rsid w:val="00C354B6"/>
    <w:rsid w:val="00C41E32"/>
    <w:rsid w:val="00C61698"/>
    <w:rsid w:val="00C6359C"/>
    <w:rsid w:val="00C76361"/>
    <w:rsid w:val="00C77A99"/>
    <w:rsid w:val="00C829DF"/>
    <w:rsid w:val="00C97652"/>
    <w:rsid w:val="00CA6794"/>
    <w:rsid w:val="00CE0855"/>
    <w:rsid w:val="00CF5B41"/>
    <w:rsid w:val="00D205EE"/>
    <w:rsid w:val="00D37AC8"/>
    <w:rsid w:val="00D85B08"/>
    <w:rsid w:val="00D978A4"/>
    <w:rsid w:val="00DA7A45"/>
    <w:rsid w:val="00DD031E"/>
    <w:rsid w:val="00DD5347"/>
    <w:rsid w:val="00DF025D"/>
    <w:rsid w:val="00E06E97"/>
    <w:rsid w:val="00E12C1E"/>
    <w:rsid w:val="00E571C3"/>
    <w:rsid w:val="00EA4A46"/>
    <w:rsid w:val="00EA728E"/>
    <w:rsid w:val="00EC6C25"/>
    <w:rsid w:val="00EF335E"/>
    <w:rsid w:val="00EF4ED1"/>
    <w:rsid w:val="00EF612F"/>
    <w:rsid w:val="00F57F53"/>
    <w:rsid w:val="00F713CF"/>
    <w:rsid w:val="00F75AF4"/>
    <w:rsid w:val="00F85B26"/>
    <w:rsid w:val="00F93A01"/>
    <w:rsid w:val="00FB7153"/>
    <w:rsid w:val="00FB756C"/>
    <w:rsid w:val="00FD6892"/>
    <w:rsid w:val="00FE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E6A"/>
  <w15:chartTrackingRefBased/>
  <w15:docId w15:val="{BA80B3C7-00C0-4566-8E65-D64B059B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D1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999"/>
    <w:pPr>
      <w:tabs>
        <w:tab w:val="center" w:pos="4680"/>
        <w:tab w:val="right" w:pos="9360"/>
      </w:tabs>
    </w:pPr>
  </w:style>
  <w:style w:type="character" w:customStyle="1" w:styleId="FooterChar">
    <w:name w:val="Footer Char"/>
    <w:basedOn w:val="DefaultParagraphFont"/>
    <w:link w:val="Footer"/>
    <w:uiPriority w:val="99"/>
    <w:rsid w:val="005D1999"/>
  </w:style>
  <w:style w:type="table" w:styleId="TableGrid">
    <w:name w:val="Table Grid"/>
    <w:basedOn w:val="TableNormal"/>
    <w:uiPriority w:val="59"/>
    <w:rsid w:val="005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5589"/>
    <w:pPr>
      <w:spacing w:after="0" w:line="240" w:lineRule="auto"/>
    </w:pPr>
    <w:rPr>
      <w:rFonts w:ascii="Tahoma" w:hAnsi="Tahoma" w:cs="Tahoma"/>
    </w:rPr>
  </w:style>
  <w:style w:type="character" w:customStyle="1" w:styleId="HeaderChar">
    <w:name w:val="Header Char"/>
    <w:basedOn w:val="DefaultParagraphFont"/>
    <w:link w:val="Header"/>
    <w:uiPriority w:val="99"/>
    <w:rsid w:val="00035589"/>
    <w:rPr>
      <w:rFonts w:ascii="Tahoma" w:hAnsi="Tahoma" w:cs="Tahoma"/>
    </w:rPr>
  </w:style>
  <w:style w:type="paragraph" w:styleId="ListParagraph">
    <w:name w:val="List Paragraph"/>
    <w:basedOn w:val="Normal"/>
    <w:uiPriority w:val="34"/>
    <w:qFormat/>
    <w:rsid w:val="00F57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17412">
      <w:bodyDiv w:val="1"/>
      <w:marLeft w:val="0"/>
      <w:marRight w:val="0"/>
      <w:marTop w:val="0"/>
      <w:marBottom w:val="0"/>
      <w:divBdr>
        <w:top w:val="none" w:sz="0" w:space="0" w:color="auto"/>
        <w:left w:val="none" w:sz="0" w:space="0" w:color="auto"/>
        <w:bottom w:val="none" w:sz="0" w:space="0" w:color="auto"/>
        <w:right w:val="none" w:sz="0" w:space="0" w:color="auto"/>
      </w:divBdr>
    </w:div>
    <w:div w:id="820804874">
      <w:bodyDiv w:val="1"/>
      <w:marLeft w:val="0"/>
      <w:marRight w:val="0"/>
      <w:marTop w:val="0"/>
      <w:marBottom w:val="0"/>
      <w:divBdr>
        <w:top w:val="none" w:sz="0" w:space="0" w:color="auto"/>
        <w:left w:val="none" w:sz="0" w:space="0" w:color="auto"/>
        <w:bottom w:val="none" w:sz="0" w:space="0" w:color="auto"/>
        <w:right w:val="none" w:sz="0" w:space="0" w:color="auto"/>
      </w:divBdr>
    </w:div>
    <w:div w:id="109158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Ellen</dc:creator>
  <cp:keywords/>
  <dc:description/>
  <cp:lastModifiedBy>Scalabrini, Amy</cp:lastModifiedBy>
  <cp:revision>2</cp:revision>
  <dcterms:created xsi:type="dcterms:W3CDTF">2022-03-04T21:55:00Z</dcterms:created>
  <dcterms:modified xsi:type="dcterms:W3CDTF">2022-03-04T21:55:00Z</dcterms:modified>
</cp:coreProperties>
</file>