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835B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</w:p>
    <w:p w14:paraId="384919E5" w14:textId="551170C1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6911BB">
        <w:rPr>
          <w:rFonts w:ascii="Palatino Linotype" w:hAnsi="Palatino Linotype"/>
          <w:b/>
          <w:sz w:val="24"/>
          <w:szCs w:val="24"/>
        </w:rPr>
        <w:t xml:space="preserve">9 March </w:t>
      </w:r>
      <w:r w:rsidR="00BE7453">
        <w:rPr>
          <w:rFonts w:ascii="Palatino Linotype" w:hAnsi="Palatino Linotype"/>
          <w:b/>
          <w:sz w:val="24"/>
          <w:szCs w:val="24"/>
        </w:rPr>
        <w:t>2022</w:t>
      </w:r>
    </w:p>
    <w:p w14:paraId="677325E1" w14:textId="420C79AD" w:rsidR="005D1999" w:rsidRPr="004C0ED6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6911BB">
        <w:rPr>
          <w:rFonts w:ascii="Palatino Linotype" w:hAnsi="Palatino Linotype"/>
          <w:b/>
          <w:sz w:val="24"/>
          <w:szCs w:val="24"/>
        </w:rPr>
        <w:t>Licensure Expiration Extension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55CCC411" w:rsidR="005D1999" w:rsidRPr="00213F24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06EC1">
        <w:rPr>
          <w:rFonts w:ascii="Palatino Linotype" w:hAnsi="Palatino Linotype"/>
          <w:sz w:val="24"/>
          <w:szCs w:val="24"/>
        </w:rPr>
        <w:t>Shall the VSBPE</w:t>
      </w:r>
      <w:r w:rsidR="005E7622">
        <w:rPr>
          <w:rFonts w:ascii="Palatino Linotype" w:hAnsi="Palatino Linotype"/>
          <w:sz w:val="24"/>
          <w:szCs w:val="24"/>
        </w:rPr>
        <w:t xml:space="preserve"> </w:t>
      </w:r>
      <w:r w:rsidR="00ED2D4B">
        <w:rPr>
          <w:rFonts w:ascii="Palatino Linotype" w:hAnsi="Palatino Linotype"/>
          <w:sz w:val="24"/>
          <w:szCs w:val="24"/>
        </w:rPr>
        <w:t xml:space="preserve">extend the expiration of all licenses set to expire on 30 June 2022 for three months to </w:t>
      </w:r>
      <w:r w:rsidR="0066780D">
        <w:rPr>
          <w:rFonts w:ascii="Palatino Linotype" w:hAnsi="Palatino Linotype"/>
          <w:sz w:val="24"/>
          <w:szCs w:val="24"/>
        </w:rPr>
        <w:t>30 September 2022</w:t>
      </w:r>
      <w:r w:rsidR="00537D47">
        <w:rPr>
          <w:rFonts w:ascii="Palatino Linotype" w:hAnsi="Palatino Linotype"/>
          <w:sz w:val="24"/>
          <w:szCs w:val="24"/>
        </w:rPr>
        <w:t>?</w:t>
      </w:r>
    </w:p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inline distT="0" distB="0" distL="0" distR="0" wp14:anchorId="4B1B96AA" wp14:editId="09F4EC73">
                <wp:extent cx="6309360" cy="906145"/>
                <wp:effectExtent l="0" t="0" r="15240" b="273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544A2D0D" w14:textId="49A9A96F" w:rsidR="00F53B4F" w:rsidRPr="00F53B4F" w:rsidRDefault="00997EFC" w:rsidP="00F53B4F">
                            <w:pPr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7B0997" w:rsidRPr="00006EC1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the VSBPE</w:t>
                            </w:r>
                            <w:r w:rsidR="007B0997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780D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extend the expiration of all licenses set to expire on 30 June 2022 for three months to 30 September 2022</w:t>
                            </w:r>
                            <w:r w:rsidR="00F00C6A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CABFAD" w14:textId="3CAF31C7" w:rsidR="005D1999" w:rsidRPr="00E26F2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6.8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1mIwIAAEYEAAAOAAAAZHJzL2Uyb0RvYy54bWysU9tu2zAMfR+wfxD0vvjSJG2MOEWXLsOA&#10;7gK0+wBZlmNhkuhJSuzs60fJbpbdXobpQSBF6pA8JNe3g1bkKKyTYEqazVJKhOFQS7Mv6een3asb&#10;SpxnpmYKjCjpSTh6u3n5Yt13hcihBVULSxDEuKLvStp63xVJ4ngrNHMz6IRBYwNWM4+q3Se1ZT2i&#10;a5XkabpMerB1Z4EL5/D1fjTSTcRvGsH9x6ZxwhNVUszNx9vGuwp3slmzYm9Z10o+pcH+IQvNpMGg&#10;Z6h75hk5WPkblJbcgoPGzzjoBJpGchFrwGqy9JdqHlvWiVgLkuO6M03u/8HyD8dPlsi6pHl2TYlh&#10;Gpv0JAZPXsNA8sBP37kC3R47dPQDPmOfY62uewD+xRED25aZvbizFvpWsBrzy8LP5OLriOMCSNW/&#10;hxrDsIOHCDQ0VgfykA6C6Nin07k3IRWOj8urdHW1RBNH2ypdZvNFDMGK59+ddf6tAE2CUFKLvY/o&#10;7PjgfMiGFc8uIZgDJeudVCoqdl9tlSVHhnOyi2dC/8lNGdJj9EW+GAn4K0Qaz58gtPQ48Erqkt6c&#10;nVgRaHtj6jiOnkk1ypiyMhOPgbqRRD9Uw9SXCuoTMmphHGxcRBRasN8o6XGoS+q+HpgVlKh3Bruy&#10;yubzsAVRmS+uc1TspaW6tDDDEaqknpJR3Pq4OYEwA3fYvUZGYkObx0ymXHFYI9/TYoVtuNSj14/1&#10;33wHAAD//wMAUEsDBBQABgAIAAAAIQDOfiRp3AAAAAUBAAAPAAAAZHJzL2Rvd25yZXYueG1sTI/B&#10;TsMwEETvSPyDtUhcEHVoq7QJcSqEBIIbFARXN94mEfY62G4a/p6FC1xGWs1o5m21mZwVI4bYe1Jw&#10;NctAIDXe9NQqeH25u1yDiEmT0dYTKvjCCJv69KTSpfFHesZxm1rBJRRLraBLaSiljE2HTseZH5DY&#10;2/vgdOIztNIEfeRyZ+U8y3LpdE+80OkBbztsPrYHp2C9fBjf4+Pi6a3J97ZIF6vx/jModX423VyD&#10;SDilvzD84DM61My08wcyUVgF/Ej6VfaKYpGD2HFoOV+BrCv5n77+BgAA//8DAFBLAQItABQABgAI&#10;AAAAIQC2gziS/gAAAOEBAAATAAAAAAAAAAAAAAAAAAAAAABbQ29udGVudF9UeXBlc10ueG1sUEsB&#10;Ai0AFAAGAAgAAAAhADj9If/WAAAAlAEAAAsAAAAAAAAAAAAAAAAALwEAAF9yZWxzLy5yZWxzUEsB&#10;Ai0AFAAGAAgAAAAhAHa2DWYjAgAARgQAAA4AAAAAAAAAAAAAAAAALgIAAGRycy9lMm9Eb2MueG1s&#10;UEsBAi0AFAAGAAgAAAAhAM5+JGncAAAABQEAAA8AAAAAAAAAAAAAAAAAfQQAAGRycy9kb3ducmV2&#10;LnhtbFBLBQYAAAAABAAEAPMAAACGBQAAAAA=&#10;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544A2D0D" w14:textId="49A9A96F" w:rsidR="00F53B4F" w:rsidRPr="00F53B4F" w:rsidRDefault="00997EFC" w:rsidP="00F53B4F">
                      <w:pPr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That </w:t>
                      </w:r>
                      <w:r w:rsidR="007B0997" w:rsidRPr="00006EC1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the VSBPE</w:t>
                      </w:r>
                      <w:r w:rsidR="007B0997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 </w:t>
                      </w:r>
                      <w:r w:rsidR="0066780D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extend the expiration of all licenses set to expire on 30 June 2022 for three months to 30 September 2022</w:t>
                      </w:r>
                      <w:r w:rsidR="00F00C6A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.</w:t>
                      </w:r>
                    </w:p>
                    <w:p w14:paraId="18CABFAD" w14:textId="3CAF31C7" w:rsidR="005D1999" w:rsidRPr="00E26F2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E93173" w14:textId="77777777" w:rsidR="005D1999" w:rsidRDefault="005D1999" w:rsidP="005D1999">
      <w:pPr>
        <w:spacing w:after="0"/>
        <w:rPr>
          <w:b/>
        </w:rPr>
      </w:pPr>
    </w:p>
    <w:p w14:paraId="15C7CA56" w14:textId="10021CC0" w:rsidR="00AE1383" w:rsidRPr="008033B3" w:rsidRDefault="005D1999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0B675A">
        <w:rPr>
          <w:rFonts w:ascii="Palatino Linotype" w:hAnsi="Palatino Linotype"/>
          <w:b/>
          <w:sz w:val="24"/>
          <w:szCs w:val="24"/>
        </w:rPr>
        <w:t xml:space="preserve">BACKGROUND: </w:t>
      </w:r>
      <w:r w:rsidR="00464756">
        <w:rPr>
          <w:rFonts w:ascii="Palatino Linotype" w:hAnsi="Palatino Linotype"/>
          <w:bCs/>
          <w:sz w:val="24"/>
          <w:szCs w:val="24"/>
        </w:rPr>
        <w:t xml:space="preserve">By rule, all educator licenses expire on 30 June of the </w:t>
      </w:r>
      <w:r w:rsidR="00821702">
        <w:rPr>
          <w:rFonts w:ascii="Palatino Linotype" w:hAnsi="Palatino Linotype"/>
          <w:bCs/>
          <w:sz w:val="24"/>
          <w:szCs w:val="24"/>
        </w:rPr>
        <w:t xml:space="preserve">year of their set life.  For a variety of reasons outlined below, the office is recommending that </w:t>
      </w:r>
      <w:r w:rsidR="00E057FE">
        <w:rPr>
          <w:rFonts w:ascii="Palatino Linotype" w:hAnsi="Palatino Linotype"/>
          <w:bCs/>
          <w:sz w:val="24"/>
          <w:szCs w:val="24"/>
        </w:rPr>
        <w:t>the life of all licenses be extended by three months for 2022 only.</w:t>
      </w:r>
    </w:p>
    <w:p w14:paraId="12ADACDD" w14:textId="6E8D97C7" w:rsidR="00CE0855" w:rsidRDefault="00CE0855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70D1FB92" w14:textId="5E7ED6A9" w:rsidR="00821ACB" w:rsidRDefault="00CE0855" w:rsidP="00C059FA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RATIONALE:</w:t>
      </w:r>
      <w:r w:rsidR="00E057FE">
        <w:rPr>
          <w:rFonts w:ascii="Palatino Linotype" w:hAnsi="Palatino Linotype"/>
          <w:b/>
          <w:sz w:val="24"/>
          <w:szCs w:val="24"/>
        </w:rPr>
        <w:t xml:space="preserve">  </w:t>
      </w:r>
      <w:r w:rsidR="00513149">
        <w:rPr>
          <w:rFonts w:ascii="Palatino Linotype" w:hAnsi="Palatino Linotype"/>
          <w:bCs/>
          <w:sz w:val="24"/>
          <w:szCs w:val="24"/>
        </w:rPr>
        <w:t xml:space="preserve">As a response to the ongoing pandemic, the Office of Professional Regulation (OPR) recently offered an extension of 60 days to any </w:t>
      </w:r>
      <w:r w:rsidR="003F1054">
        <w:rPr>
          <w:rFonts w:ascii="Palatino Linotype" w:hAnsi="Palatino Linotype"/>
          <w:bCs/>
          <w:sz w:val="24"/>
          <w:szCs w:val="24"/>
        </w:rPr>
        <w:t xml:space="preserve">individual </w:t>
      </w:r>
      <w:r w:rsidR="00513149">
        <w:rPr>
          <w:rFonts w:ascii="Palatino Linotype" w:hAnsi="Palatino Linotype"/>
          <w:bCs/>
          <w:sz w:val="24"/>
          <w:szCs w:val="24"/>
        </w:rPr>
        <w:t xml:space="preserve">licensed </w:t>
      </w:r>
      <w:r w:rsidR="003F1054">
        <w:rPr>
          <w:rFonts w:ascii="Palatino Linotype" w:hAnsi="Palatino Linotype"/>
          <w:bCs/>
          <w:sz w:val="24"/>
          <w:szCs w:val="24"/>
        </w:rPr>
        <w:t>by OPR at their request.</w:t>
      </w:r>
      <w:r w:rsidR="00D60EDF">
        <w:rPr>
          <w:rFonts w:ascii="Palatino Linotype" w:hAnsi="Palatino Linotype"/>
          <w:bCs/>
          <w:sz w:val="24"/>
          <w:szCs w:val="24"/>
        </w:rPr>
        <w:t xml:space="preserve">  </w:t>
      </w:r>
      <w:r w:rsidR="00507A08">
        <w:rPr>
          <w:rFonts w:ascii="Palatino Linotype" w:hAnsi="Palatino Linotype"/>
          <w:bCs/>
          <w:sz w:val="24"/>
          <w:szCs w:val="24"/>
        </w:rPr>
        <w:t>E</w:t>
      </w:r>
      <w:r w:rsidR="00821ACB">
        <w:rPr>
          <w:rFonts w:ascii="Palatino Linotype" w:hAnsi="Palatino Linotype"/>
          <w:bCs/>
          <w:sz w:val="24"/>
          <w:szCs w:val="24"/>
        </w:rPr>
        <w:t>ducators currently on a Level I, provisional, or emergency license</w:t>
      </w:r>
      <w:r w:rsidR="00507A08">
        <w:rPr>
          <w:rFonts w:ascii="Palatino Linotype" w:hAnsi="Palatino Linotype"/>
          <w:bCs/>
          <w:sz w:val="24"/>
          <w:szCs w:val="24"/>
        </w:rPr>
        <w:t xml:space="preserve"> have been working under pandemic conditions for most or all of the life of that license.  </w:t>
      </w:r>
      <w:r w:rsidR="00086426">
        <w:rPr>
          <w:rFonts w:ascii="Palatino Linotype" w:hAnsi="Palatino Linotype"/>
          <w:bCs/>
          <w:sz w:val="24"/>
          <w:szCs w:val="24"/>
        </w:rPr>
        <w:t xml:space="preserve">This currently school year has be much more challenging than anticipated due to the emergence of COVID variants.  In turn, </w:t>
      </w:r>
      <w:r w:rsidR="00A947C2">
        <w:rPr>
          <w:rFonts w:ascii="Palatino Linotype" w:hAnsi="Palatino Linotype"/>
          <w:bCs/>
          <w:sz w:val="24"/>
          <w:szCs w:val="24"/>
        </w:rPr>
        <w:t xml:space="preserve">this </w:t>
      </w:r>
      <w:r w:rsidR="00507A08">
        <w:rPr>
          <w:rFonts w:ascii="Palatino Linotype" w:hAnsi="Palatino Linotype"/>
          <w:bCs/>
          <w:sz w:val="24"/>
          <w:szCs w:val="24"/>
        </w:rPr>
        <w:t>has impacted their ability to partic</w:t>
      </w:r>
      <w:r w:rsidR="00E55C3A">
        <w:rPr>
          <w:rFonts w:ascii="Palatino Linotype" w:hAnsi="Palatino Linotype"/>
          <w:bCs/>
          <w:sz w:val="24"/>
          <w:szCs w:val="24"/>
        </w:rPr>
        <w:t xml:space="preserve">ipate in high quality professional learning or </w:t>
      </w:r>
      <w:r w:rsidR="009F658A">
        <w:rPr>
          <w:rFonts w:ascii="Palatino Linotype" w:hAnsi="Palatino Linotype"/>
          <w:bCs/>
          <w:sz w:val="24"/>
          <w:szCs w:val="24"/>
        </w:rPr>
        <w:t>complete coursework/portfolios required for permanent licensure.</w:t>
      </w:r>
      <w:r w:rsidR="002E65D4">
        <w:rPr>
          <w:rFonts w:ascii="Palatino Linotype" w:hAnsi="Palatino Linotype"/>
          <w:bCs/>
          <w:sz w:val="24"/>
          <w:szCs w:val="24"/>
        </w:rPr>
        <w:t xml:space="preserve">  An extension of three months would allow educators time over </w:t>
      </w:r>
      <w:r w:rsidR="00A947C2">
        <w:rPr>
          <w:rFonts w:ascii="Palatino Linotype" w:hAnsi="Palatino Linotype"/>
          <w:bCs/>
          <w:sz w:val="24"/>
          <w:szCs w:val="24"/>
        </w:rPr>
        <w:t xml:space="preserve">the summer to complete their professional learning and applications, allowing them </w:t>
      </w:r>
      <w:r w:rsidR="00E37B4B">
        <w:rPr>
          <w:rFonts w:ascii="Palatino Linotype" w:hAnsi="Palatino Linotype"/>
          <w:bCs/>
          <w:sz w:val="24"/>
          <w:szCs w:val="24"/>
        </w:rPr>
        <w:t>to focus more fully on their teaching through the end of the school year.</w:t>
      </w:r>
    </w:p>
    <w:p w14:paraId="0063F998" w14:textId="77777777" w:rsidR="00821ACB" w:rsidRDefault="00821ACB" w:rsidP="00C059FA">
      <w:pPr>
        <w:pStyle w:val="Header"/>
        <w:rPr>
          <w:rFonts w:ascii="Palatino Linotype" w:hAnsi="Palatino Linotype"/>
          <w:bCs/>
          <w:sz w:val="24"/>
          <w:szCs w:val="24"/>
        </w:rPr>
      </w:pPr>
    </w:p>
    <w:p w14:paraId="6D1B91E7" w14:textId="5A75486C" w:rsidR="00C059FA" w:rsidRDefault="00D60EDF" w:rsidP="00C059FA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The office is suggesting that we largely follow </w:t>
      </w:r>
      <w:r w:rsidR="00E37B4B">
        <w:rPr>
          <w:rFonts w:ascii="Palatino Linotype" w:hAnsi="Palatino Linotype"/>
          <w:bCs/>
          <w:sz w:val="24"/>
          <w:szCs w:val="24"/>
        </w:rPr>
        <w:t xml:space="preserve">the </w:t>
      </w:r>
      <w:r>
        <w:rPr>
          <w:rFonts w:ascii="Palatino Linotype" w:hAnsi="Palatino Linotype"/>
          <w:bCs/>
          <w:sz w:val="24"/>
          <w:szCs w:val="24"/>
        </w:rPr>
        <w:t xml:space="preserve">lead </w:t>
      </w:r>
      <w:r w:rsidR="00E37B4B">
        <w:rPr>
          <w:rFonts w:ascii="Palatino Linotype" w:hAnsi="Palatino Linotype"/>
          <w:bCs/>
          <w:sz w:val="24"/>
          <w:szCs w:val="24"/>
        </w:rPr>
        <w:t xml:space="preserve">of OPR </w:t>
      </w:r>
      <w:r>
        <w:rPr>
          <w:rFonts w:ascii="Palatino Linotype" w:hAnsi="Palatino Linotype"/>
          <w:bCs/>
          <w:sz w:val="24"/>
          <w:szCs w:val="24"/>
        </w:rPr>
        <w:t xml:space="preserve">with a couple of </w:t>
      </w:r>
      <w:r w:rsidR="00E37B4B">
        <w:rPr>
          <w:rFonts w:ascii="Palatino Linotype" w:hAnsi="Palatino Linotype"/>
          <w:bCs/>
          <w:sz w:val="24"/>
          <w:szCs w:val="24"/>
        </w:rPr>
        <w:t>important differences.</w:t>
      </w:r>
    </w:p>
    <w:p w14:paraId="60683737" w14:textId="0B945FD8" w:rsidR="00DB6F7D" w:rsidRPr="00BA6183" w:rsidRDefault="00DB6F7D" w:rsidP="00DB6F7D">
      <w:pPr>
        <w:pStyle w:val="Header"/>
        <w:numPr>
          <w:ilvl w:val="0"/>
          <w:numId w:val="3"/>
        </w:numPr>
        <w:rPr>
          <w:bCs/>
        </w:rPr>
      </w:pPr>
      <w:r>
        <w:rPr>
          <w:rFonts w:ascii="Palatino Linotype" w:hAnsi="Palatino Linotype"/>
          <w:bCs/>
          <w:sz w:val="24"/>
          <w:szCs w:val="24"/>
        </w:rPr>
        <w:t>Rather than extend licenses on request only, we would a</w:t>
      </w:r>
      <w:r w:rsidR="002F4B22">
        <w:rPr>
          <w:rFonts w:ascii="Palatino Linotype" w:hAnsi="Palatino Linotype"/>
          <w:bCs/>
          <w:sz w:val="24"/>
          <w:szCs w:val="24"/>
        </w:rPr>
        <w:t xml:space="preserve">utomatically extend the licenses of all educators.  </w:t>
      </w:r>
      <w:r w:rsidR="00015DC3">
        <w:rPr>
          <w:rFonts w:ascii="Palatino Linotype" w:hAnsi="Palatino Linotype"/>
          <w:bCs/>
          <w:sz w:val="24"/>
          <w:szCs w:val="24"/>
        </w:rPr>
        <w:t>This is actually an easier technical implement</w:t>
      </w:r>
      <w:r w:rsidR="00B2288D">
        <w:rPr>
          <w:rFonts w:ascii="Palatino Linotype" w:hAnsi="Palatino Linotype"/>
          <w:bCs/>
          <w:sz w:val="24"/>
          <w:szCs w:val="24"/>
        </w:rPr>
        <w:t>ation</w:t>
      </w:r>
      <w:r w:rsidR="00015DC3">
        <w:rPr>
          <w:rFonts w:ascii="Palatino Linotype" w:hAnsi="Palatino Linotype"/>
          <w:bCs/>
          <w:sz w:val="24"/>
          <w:szCs w:val="24"/>
        </w:rPr>
        <w:t>.  Addition</w:t>
      </w:r>
      <w:r w:rsidR="00B2288D">
        <w:rPr>
          <w:rFonts w:ascii="Palatino Linotype" w:hAnsi="Palatino Linotype"/>
          <w:bCs/>
          <w:sz w:val="24"/>
          <w:szCs w:val="24"/>
        </w:rPr>
        <w:t xml:space="preserve">ally, </w:t>
      </w:r>
      <w:r w:rsidR="00B722A2">
        <w:rPr>
          <w:rFonts w:ascii="Palatino Linotype" w:hAnsi="Palatino Linotype"/>
          <w:bCs/>
          <w:sz w:val="24"/>
          <w:szCs w:val="24"/>
        </w:rPr>
        <w:t xml:space="preserve">it mitigates the risk of educators </w:t>
      </w:r>
      <w:r w:rsidR="00BA6183">
        <w:rPr>
          <w:rFonts w:ascii="Palatino Linotype" w:hAnsi="Palatino Linotype"/>
          <w:bCs/>
          <w:sz w:val="24"/>
          <w:szCs w:val="24"/>
        </w:rPr>
        <w:t xml:space="preserve">erroneously </w:t>
      </w:r>
      <w:r w:rsidR="00B722A2">
        <w:rPr>
          <w:rFonts w:ascii="Palatino Linotype" w:hAnsi="Palatino Linotype"/>
          <w:bCs/>
          <w:sz w:val="24"/>
          <w:szCs w:val="24"/>
        </w:rPr>
        <w:t>believing that they have requested an ex</w:t>
      </w:r>
      <w:r w:rsidR="00BA6183">
        <w:rPr>
          <w:rFonts w:ascii="Palatino Linotype" w:hAnsi="Palatino Linotype"/>
          <w:bCs/>
          <w:sz w:val="24"/>
          <w:szCs w:val="24"/>
        </w:rPr>
        <w:t>t</w:t>
      </w:r>
      <w:r w:rsidR="00B722A2">
        <w:rPr>
          <w:rFonts w:ascii="Palatino Linotype" w:hAnsi="Palatino Linotype"/>
          <w:bCs/>
          <w:sz w:val="24"/>
          <w:szCs w:val="24"/>
        </w:rPr>
        <w:t>ension</w:t>
      </w:r>
      <w:r w:rsidR="00BA6183">
        <w:rPr>
          <w:rFonts w:ascii="Palatino Linotype" w:hAnsi="Palatino Linotype"/>
          <w:bCs/>
          <w:sz w:val="24"/>
          <w:szCs w:val="24"/>
        </w:rPr>
        <w:t xml:space="preserve"> or not understanding that such a request was necessary.</w:t>
      </w:r>
    </w:p>
    <w:p w14:paraId="562D97CA" w14:textId="6750B58B" w:rsidR="00BA6183" w:rsidRPr="00E057FE" w:rsidRDefault="00FE5519" w:rsidP="00DB6F7D">
      <w:pPr>
        <w:pStyle w:val="Header"/>
        <w:numPr>
          <w:ilvl w:val="0"/>
          <w:numId w:val="3"/>
        </w:numPr>
        <w:rPr>
          <w:bCs/>
        </w:rPr>
      </w:pPr>
      <w:r>
        <w:rPr>
          <w:rFonts w:ascii="Palatino Linotype" w:hAnsi="Palatino Linotype"/>
          <w:bCs/>
          <w:sz w:val="24"/>
          <w:szCs w:val="24"/>
        </w:rPr>
        <w:t xml:space="preserve">Rather than extend licenses by 60 days, the office is recommend extending licenses by three months, to </w:t>
      </w:r>
      <w:r w:rsidR="00BB4508">
        <w:rPr>
          <w:rFonts w:ascii="Palatino Linotype" w:hAnsi="Palatino Linotype"/>
          <w:bCs/>
          <w:sz w:val="24"/>
          <w:szCs w:val="24"/>
        </w:rPr>
        <w:t xml:space="preserve">30 September 2022.  This </w:t>
      </w:r>
      <w:r w:rsidR="00EB4EF8">
        <w:rPr>
          <w:rFonts w:ascii="Palatino Linotype" w:hAnsi="Palatino Linotype"/>
          <w:bCs/>
          <w:sz w:val="24"/>
          <w:szCs w:val="24"/>
        </w:rPr>
        <w:t xml:space="preserve">allows educators to focus on getting their 2022/23 school years off to a smooth start, rather than having the additional burden of </w:t>
      </w:r>
      <w:r w:rsidR="00785F96">
        <w:rPr>
          <w:rFonts w:ascii="Palatino Linotype" w:hAnsi="Palatino Linotype"/>
          <w:bCs/>
          <w:sz w:val="24"/>
          <w:szCs w:val="24"/>
        </w:rPr>
        <w:t>completing last minute relicensure requirements.</w:t>
      </w:r>
    </w:p>
    <w:p w14:paraId="0B022C26" w14:textId="5AB45006" w:rsidR="00A45976" w:rsidRPr="00A45976" w:rsidRDefault="00A45976" w:rsidP="00C059FA">
      <w:pPr>
        <w:pStyle w:val="Header"/>
        <w:rPr>
          <w:rFonts w:ascii="Palatino Linotype" w:hAnsi="Palatino Linotype"/>
          <w:bCs/>
          <w:sz w:val="24"/>
          <w:szCs w:val="24"/>
        </w:rPr>
      </w:pPr>
    </w:p>
    <w:sectPr w:rsidR="00A45976" w:rsidRPr="00A45976" w:rsidSect="00256309">
      <w:footerReference w:type="default" r:id="rId7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744C" w14:textId="77777777" w:rsidR="00805A2E" w:rsidRDefault="00805A2E">
      <w:pPr>
        <w:spacing w:after="0" w:line="240" w:lineRule="auto"/>
      </w:pPr>
      <w:r>
        <w:separator/>
      </w:r>
    </w:p>
  </w:endnote>
  <w:endnote w:type="continuationSeparator" w:id="0">
    <w:p w14:paraId="129E9E6D" w14:textId="77777777" w:rsidR="00805A2E" w:rsidRDefault="00805A2E">
      <w:pPr>
        <w:spacing w:after="0" w:line="240" w:lineRule="auto"/>
      </w:pPr>
      <w:r>
        <w:continuationSeparator/>
      </w:r>
    </w:p>
  </w:endnote>
  <w:endnote w:type="continuationNotice" w:id="1">
    <w:p w14:paraId="317DAA69" w14:textId="77777777" w:rsidR="008151C8" w:rsidRDefault="008151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5"/>
      <w:gridCol w:w="1586"/>
      <w:gridCol w:w="3639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1E498E7" w14:textId="70F24EE9" w:rsidR="00982BDF" w:rsidRPr="00937FFC" w:rsidRDefault="001F46B1" w:rsidP="00796D5F">
          <w:pPr>
            <w:rPr>
              <w:sz w:val="20"/>
            </w:rPr>
          </w:pPr>
          <w:r>
            <w:rPr>
              <w:sz w:val="20"/>
            </w:rPr>
            <w:t>Policy F2 Revision Proposal 8-5-21</w:t>
          </w:r>
        </w:p>
      </w:tc>
      <w:tc>
        <w:tcPr>
          <w:tcW w:w="1620" w:type="dxa"/>
        </w:tcPr>
        <w:p w14:paraId="19CAC45D" w14:textId="77777777" w:rsidR="00796D5F" w:rsidRPr="00937FFC" w:rsidRDefault="00D978A4" w:rsidP="00796D5F">
          <w:pPr>
            <w:jc w:val="center"/>
            <w:rPr>
              <w:sz w:val="20"/>
            </w:rPr>
          </w:pPr>
          <w:r w:rsidRPr="00937FFC">
            <w:rPr>
              <w:sz w:val="20"/>
            </w:rPr>
            <w:t xml:space="preserve">Page </w:t>
          </w:r>
          <w:r w:rsidRPr="00937FFC">
            <w:rPr>
              <w:b/>
              <w:sz w:val="20"/>
            </w:rPr>
            <w:fldChar w:fldCharType="begin"/>
          </w:r>
          <w:r w:rsidRPr="00937FFC">
            <w:rPr>
              <w:b/>
              <w:sz w:val="20"/>
            </w:rPr>
            <w:instrText xml:space="preserve"> PAGE  \* Arabic  \* MERGEFORMAT </w:instrText>
          </w:r>
          <w:r w:rsidRPr="00937FFC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3</w:t>
          </w:r>
          <w:r w:rsidRPr="00937FFC">
            <w:rPr>
              <w:b/>
              <w:sz w:val="20"/>
            </w:rPr>
            <w:fldChar w:fldCharType="end"/>
          </w:r>
          <w:r w:rsidRPr="00937FFC">
            <w:rPr>
              <w:sz w:val="20"/>
            </w:rPr>
            <w:t xml:space="preserve"> of </w:t>
          </w:r>
          <w:r w:rsidRPr="00937FFC">
            <w:rPr>
              <w:sz w:val="20"/>
            </w:rPr>
            <w:fldChar w:fldCharType="begin"/>
          </w:r>
          <w:r w:rsidRPr="00937FFC">
            <w:rPr>
              <w:sz w:val="20"/>
            </w:rPr>
            <w:instrText xml:space="preserve"> NUMPAGES  \* Arabic  \* MERGEFORMAT </w:instrText>
          </w:r>
          <w:r w:rsidRPr="00937FFC">
            <w:rPr>
              <w:sz w:val="20"/>
            </w:rPr>
            <w:fldChar w:fldCharType="separate"/>
          </w:r>
          <w:r w:rsidRPr="00B521D2">
            <w:rPr>
              <w:b/>
              <w:noProof/>
              <w:sz w:val="20"/>
            </w:rPr>
            <w:t>3</w:t>
          </w:r>
          <w:r w:rsidRPr="00937FFC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12DBF396" w14:textId="77777777" w:rsidR="00796D5F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796D5F" w:rsidRDefault="006B1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776F" w14:textId="77777777" w:rsidR="00805A2E" w:rsidRDefault="00805A2E">
      <w:pPr>
        <w:spacing w:after="0" w:line="240" w:lineRule="auto"/>
      </w:pPr>
      <w:r>
        <w:separator/>
      </w:r>
    </w:p>
  </w:footnote>
  <w:footnote w:type="continuationSeparator" w:id="0">
    <w:p w14:paraId="07FAFC97" w14:textId="77777777" w:rsidR="00805A2E" w:rsidRDefault="00805A2E">
      <w:pPr>
        <w:spacing w:after="0" w:line="240" w:lineRule="auto"/>
      </w:pPr>
      <w:r>
        <w:continuationSeparator/>
      </w:r>
    </w:p>
  </w:footnote>
  <w:footnote w:type="continuationNotice" w:id="1">
    <w:p w14:paraId="4A938D07" w14:textId="77777777" w:rsidR="008151C8" w:rsidRDefault="008151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356"/>
    <w:multiLevelType w:val="hybridMultilevel"/>
    <w:tmpl w:val="7B0CE74A"/>
    <w:lvl w:ilvl="0" w:tplc="1FCE87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13686"/>
    <w:multiLevelType w:val="hybridMultilevel"/>
    <w:tmpl w:val="2AF20A94"/>
    <w:lvl w:ilvl="0" w:tplc="8398BD0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712C"/>
    <w:multiLevelType w:val="hybridMultilevel"/>
    <w:tmpl w:val="D7E86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02B49"/>
    <w:rsid w:val="00015DC3"/>
    <w:rsid w:val="00035589"/>
    <w:rsid w:val="0004552B"/>
    <w:rsid w:val="00086426"/>
    <w:rsid w:val="000B465B"/>
    <w:rsid w:val="000C3ACA"/>
    <w:rsid w:val="000D0141"/>
    <w:rsid w:val="000D6982"/>
    <w:rsid w:val="000F6BFF"/>
    <w:rsid w:val="0011006E"/>
    <w:rsid w:val="00142DB2"/>
    <w:rsid w:val="001529A4"/>
    <w:rsid w:val="00153A74"/>
    <w:rsid w:val="001717A9"/>
    <w:rsid w:val="001722F4"/>
    <w:rsid w:val="0017674C"/>
    <w:rsid w:val="00177429"/>
    <w:rsid w:val="001B3859"/>
    <w:rsid w:val="001F46B1"/>
    <w:rsid w:val="00210ED5"/>
    <w:rsid w:val="00226F44"/>
    <w:rsid w:val="00241F6A"/>
    <w:rsid w:val="00281D49"/>
    <w:rsid w:val="002C390C"/>
    <w:rsid w:val="002C3B57"/>
    <w:rsid w:val="002D4EC9"/>
    <w:rsid w:val="002E444D"/>
    <w:rsid w:val="002E65D4"/>
    <w:rsid w:val="002F1DD5"/>
    <w:rsid w:val="002F4B22"/>
    <w:rsid w:val="003219B5"/>
    <w:rsid w:val="00327EB2"/>
    <w:rsid w:val="003319D3"/>
    <w:rsid w:val="003B02B7"/>
    <w:rsid w:val="003B0BC4"/>
    <w:rsid w:val="003B1F0E"/>
    <w:rsid w:val="003B2D98"/>
    <w:rsid w:val="003D288A"/>
    <w:rsid w:val="003F1054"/>
    <w:rsid w:val="003F1CD1"/>
    <w:rsid w:val="003F40F4"/>
    <w:rsid w:val="003F4376"/>
    <w:rsid w:val="003F4EBF"/>
    <w:rsid w:val="004035F7"/>
    <w:rsid w:val="004046CA"/>
    <w:rsid w:val="00437D29"/>
    <w:rsid w:val="00445099"/>
    <w:rsid w:val="00457397"/>
    <w:rsid w:val="00461F7A"/>
    <w:rsid w:val="00464756"/>
    <w:rsid w:val="0047283B"/>
    <w:rsid w:val="004B1F53"/>
    <w:rsid w:val="004B5A57"/>
    <w:rsid w:val="004C00B4"/>
    <w:rsid w:val="004C04EC"/>
    <w:rsid w:val="004C0C51"/>
    <w:rsid w:val="004C0ED6"/>
    <w:rsid w:val="004F4B4E"/>
    <w:rsid w:val="00505157"/>
    <w:rsid w:val="00507A08"/>
    <w:rsid w:val="00513149"/>
    <w:rsid w:val="00514939"/>
    <w:rsid w:val="00535E22"/>
    <w:rsid w:val="005378F4"/>
    <w:rsid w:val="00537D47"/>
    <w:rsid w:val="00582F68"/>
    <w:rsid w:val="0058301C"/>
    <w:rsid w:val="00590B7E"/>
    <w:rsid w:val="005A51D2"/>
    <w:rsid w:val="005B17FB"/>
    <w:rsid w:val="005B56A8"/>
    <w:rsid w:val="005C73E7"/>
    <w:rsid w:val="005D1447"/>
    <w:rsid w:val="005D1999"/>
    <w:rsid w:val="005E7622"/>
    <w:rsid w:val="00601B11"/>
    <w:rsid w:val="00632F07"/>
    <w:rsid w:val="0063527A"/>
    <w:rsid w:val="00636452"/>
    <w:rsid w:val="00637597"/>
    <w:rsid w:val="006519C6"/>
    <w:rsid w:val="00661EA0"/>
    <w:rsid w:val="0066780D"/>
    <w:rsid w:val="00687AD7"/>
    <w:rsid w:val="006911BB"/>
    <w:rsid w:val="00693146"/>
    <w:rsid w:val="006970B4"/>
    <w:rsid w:val="006B12E3"/>
    <w:rsid w:val="006B1D8E"/>
    <w:rsid w:val="006D1210"/>
    <w:rsid w:val="006F6967"/>
    <w:rsid w:val="00705421"/>
    <w:rsid w:val="00727B21"/>
    <w:rsid w:val="00734D11"/>
    <w:rsid w:val="00737B2A"/>
    <w:rsid w:val="007463A5"/>
    <w:rsid w:val="00763BA1"/>
    <w:rsid w:val="00785F96"/>
    <w:rsid w:val="00793A58"/>
    <w:rsid w:val="007950F3"/>
    <w:rsid w:val="007A6DF6"/>
    <w:rsid w:val="007B0997"/>
    <w:rsid w:val="007B4D66"/>
    <w:rsid w:val="007D55F3"/>
    <w:rsid w:val="008033B3"/>
    <w:rsid w:val="00805A2E"/>
    <w:rsid w:val="0081411F"/>
    <w:rsid w:val="008151C8"/>
    <w:rsid w:val="00821702"/>
    <w:rsid w:val="00821ACB"/>
    <w:rsid w:val="00870098"/>
    <w:rsid w:val="0087228E"/>
    <w:rsid w:val="00877CCC"/>
    <w:rsid w:val="00892CC6"/>
    <w:rsid w:val="008C0078"/>
    <w:rsid w:val="008E33EB"/>
    <w:rsid w:val="008E430C"/>
    <w:rsid w:val="00902884"/>
    <w:rsid w:val="0091313E"/>
    <w:rsid w:val="009168D6"/>
    <w:rsid w:val="00925807"/>
    <w:rsid w:val="009777E0"/>
    <w:rsid w:val="00997EFC"/>
    <w:rsid w:val="009B46B4"/>
    <w:rsid w:val="009E54C8"/>
    <w:rsid w:val="009F658A"/>
    <w:rsid w:val="00A0454B"/>
    <w:rsid w:val="00A04893"/>
    <w:rsid w:val="00A111C3"/>
    <w:rsid w:val="00A23636"/>
    <w:rsid w:val="00A26511"/>
    <w:rsid w:val="00A3717C"/>
    <w:rsid w:val="00A44D79"/>
    <w:rsid w:val="00A45976"/>
    <w:rsid w:val="00A460AB"/>
    <w:rsid w:val="00A464C5"/>
    <w:rsid w:val="00A53D4A"/>
    <w:rsid w:val="00A56A6A"/>
    <w:rsid w:val="00A67D14"/>
    <w:rsid w:val="00A947C2"/>
    <w:rsid w:val="00AE1383"/>
    <w:rsid w:val="00AE3D4E"/>
    <w:rsid w:val="00B17039"/>
    <w:rsid w:val="00B2288D"/>
    <w:rsid w:val="00B4761D"/>
    <w:rsid w:val="00B52616"/>
    <w:rsid w:val="00B722A2"/>
    <w:rsid w:val="00B752F8"/>
    <w:rsid w:val="00B81343"/>
    <w:rsid w:val="00B821E3"/>
    <w:rsid w:val="00B92677"/>
    <w:rsid w:val="00B95492"/>
    <w:rsid w:val="00BA4ED9"/>
    <w:rsid w:val="00BA6183"/>
    <w:rsid w:val="00BB1A78"/>
    <w:rsid w:val="00BB4508"/>
    <w:rsid w:val="00BC57C5"/>
    <w:rsid w:val="00BD393B"/>
    <w:rsid w:val="00BD6C43"/>
    <w:rsid w:val="00BE5B04"/>
    <w:rsid w:val="00BE7453"/>
    <w:rsid w:val="00BF49DD"/>
    <w:rsid w:val="00BF7C38"/>
    <w:rsid w:val="00C059FA"/>
    <w:rsid w:val="00C22FE4"/>
    <w:rsid w:val="00C354B6"/>
    <w:rsid w:val="00C41E32"/>
    <w:rsid w:val="00C61698"/>
    <w:rsid w:val="00C97652"/>
    <w:rsid w:val="00CA6794"/>
    <w:rsid w:val="00CE0855"/>
    <w:rsid w:val="00CE4AC0"/>
    <w:rsid w:val="00CF5B41"/>
    <w:rsid w:val="00D10F63"/>
    <w:rsid w:val="00D12C83"/>
    <w:rsid w:val="00D205EE"/>
    <w:rsid w:val="00D21143"/>
    <w:rsid w:val="00D30878"/>
    <w:rsid w:val="00D60EDF"/>
    <w:rsid w:val="00D627B5"/>
    <w:rsid w:val="00D85B08"/>
    <w:rsid w:val="00D978A4"/>
    <w:rsid w:val="00DA4CB7"/>
    <w:rsid w:val="00DA7A45"/>
    <w:rsid w:val="00DB6F7D"/>
    <w:rsid w:val="00DC7150"/>
    <w:rsid w:val="00DD031E"/>
    <w:rsid w:val="00DD4412"/>
    <w:rsid w:val="00DE700A"/>
    <w:rsid w:val="00DF025D"/>
    <w:rsid w:val="00E057FE"/>
    <w:rsid w:val="00E06E97"/>
    <w:rsid w:val="00E37B4B"/>
    <w:rsid w:val="00E55C3A"/>
    <w:rsid w:val="00E571C3"/>
    <w:rsid w:val="00EA3FD1"/>
    <w:rsid w:val="00EA4A46"/>
    <w:rsid w:val="00EB4EF8"/>
    <w:rsid w:val="00EC0054"/>
    <w:rsid w:val="00EC6C25"/>
    <w:rsid w:val="00ED2D4B"/>
    <w:rsid w:val="00ED6790"/>
    <w:rsid w:val="00EE3B36"/>
    <w:rsid w:val="00EF4ED1"/>
    <w:rsid w:val="00F00C6A"/>
    <w:rsid w:val="00F017F2"/>
    <w:rsid w:val="00F10211"/>
    <w:rsid w:val="00F202B9"/>
    <w:rsid w:val="00F5332F"/>
    <w:rsid w:val="00F53B4F"/>
    <w:rsid w:val="00F731DC"/>
    <w:rsid w:val="00F93A01"/>
    <w:rsid w:val="00F96E40"/>
    <w:rsid w:val="00FB7153"/>
    <w:rsid w:val="00FB756C"/>
    <w:rsid w:val="00FC5519"/>
    <w:rsid w:val="00FE5519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589"/>
    <w:pPr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035589"/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0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Scalabrini, Amy</cp:lastModifiedBy>
  <cp:revision>2</cp:revision>
  <dcterms:created xsi:type="dcterms:W3CDTF">2022-03-04T18:00:00Z</dcterms:created>
  <dcterms:modified xsi:type="dcterms:W3CDTF">2022-03-04T18:00:00Z</dcterms:modified>
</cp:coreProperties>
</file>