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0325B" w14:textId="08FD8A6C" w:rsidR="00147A67" w:rsidRPr="004062C7" w:rsidRDefault="007B28E4" w:rsidP="001E444C">
      <w:pPr>
        <w:pStyle w:val="Title"/>
        <w:tabs>
          <w:tab w:val="center" w:pos="4680"/>
          <w:tab w:val="right" w:pos="9360"/>
        </w:tabs>
      </w:pPr>
      <w:r>
        <w:t xml:space="preserve">Child and Adult Care Food Program (CACFP) </w:t>
      </w:r>
      <w:r w:rsidR="00660C2F">
        <w:t>Desk Audit Guidance</w:t>
      </w:r>
      <w:r w:rsidR="00A2444F">
        <w:t xml:space="preserve"> for Sponsoring Organizations </w:t>
      </w:r>
      <w:r w:rsidR="00820A7D">
        <w:t xml:space="preserve">for Fiscal Year </w:t>
      </w:r>
      <w:r w:rsidR="00885DF7">
        <w:t>2020-2021</w:t>
      </w:r>
    </w:p>
    <w:p w14:paraId="1B08D222" w14:textId="77777777" w:rsidR="00147A67" w:rsidRDefault="00B66234" w:rsidP="00147A67">
      <w:pPr>
        <w:pStyle w:val="Heading1"/>
      </w:pPr>
      <w:r>
        <w:t>Purpose</w:t>
      </w:r>
    </w:p>
    <w:p w14:paraId="7D92621E" w14:textId="54A34278" w:rsidR="00E52B4F" w:rsidRDefault="009D12CE" w:rsidP="00E52B4F">
      <w:pPr>
        <w:widowControl w:val="0"/>
      </w:pPr>
      <w:r w:rsidRPr="00D96748">
        <w:t xml:space="preserve">In response to </w:t>
      </w:r>
      <w:r w:rsidR="00660C2F" w:rsidRPr="00D96748">
        <w:t xml:space="preserve">COVID-19, USDA released a nationwide waiver on </w:t>
      </w:r>
      <w:r w:rsidR="00E52B4F">
        <w:t xml:space="preserve">August 4, 2020, </w:t>
      </w:r>
      <w:hyperlink r:id="rId11" w:history="1">
        <w:r w:rsidR="00E52B4F" w:rsidRPr="006B791C">
          <w:rPr>
            <w:rStyle w:val="Hyperlink"/>
            <w:rFonts w:cs="Calibri"/>
          </w:rPr>
          <w:t>COVID-19: Child Nutrition Response #39: Nationwide Waiver of Onsite Monitoring Requirements for Sponsors in the Child and Adult Care Food Program</w:t>
        </w:r>
      </w:hyperlink>
      <w:r w:rsidR="00E52B4F" w:rsidRPr="006B791C">
        <w:t>,</w:t>
      </w:r>
      <w:r w:rsidR="00E52B4F">
        <w:t xml:space="preserve"> which </w:t>
      </w:r>
      <w:r w:rsidR="00E52B4F" w:rsidRPr="00D96748">
        <w:t>waive</w:t>
      </w:r>
      <w:r w:rsidR="00E52B4F">
        <w:t>s</w:t>
      </w:r>
      <w:r w:rsidR="00E52B4F" w:rsidRPr="00D96748">
        <w:t xml:space="preserve"> </w:t>
      </w:r>
      <w:r w:rsidR="00E52B4F">
        <w:t xml:space="preserve">the on-site </w:t>
      </w:r>
      <w:r w:rsidR="00E52B4F" w:rsidRPr="00D96748">
        <w:t>monitoring requirement</w:t>
      </w:r>
      <w:r w:rsidR="00E52B4F">
        <w:t>s</w:t>
      </w:r>
      <w:r w:rsidR="00E52B4F" w:rsidRPr="00D96748">
        <w:t xml:space="preserve"> for CACFP </w:t>
      </w:r>
      <w:r w:rsidR="00E52B4F">
        <w:t>monitoring visits to maintain social distancing efforts</w:t>
      </w:r>
      <w:r w:rsidR="00FC2AAF">
        <w:t xml:space="preserve"> </w:t>
      </w:r>
      <w:r w:rsidR="00E52B4F">
        <w:t xml:space="preserve">until September 30, 2021. </w:t>
      </w:r>
      <w:r w:rsidR="00050A15">
        <w:t xml:space="preserve">On April 1, 2021, the Vermont Agency of Education (AOE), Child Nutrition Program’s (CNP) Oversight and </w:t>
      </w:r>
      <w:r w:rsidR="0019575B">
        <w:t>Monitoring Plan and Request for Flexibilities</w:t>
      </w:r>
      <w:r w:rsidR="0019575B">
        <w:t xml:space="preserve"> was approved by USDA. This</w:t>
      </w:r>
      <w:r w:rsidR="0077122C">
        <w:t xml:space="preserve"> included </w:t>
      </w:r>
      <w:r w:rsidR="0078546B">
        <w:t xml:space="preserve">requests </w:t>
      </w:r>
      <w:r w:rsidR="00127FE4">
        <w:t xml:space="preserve">to waive </w:t>
      </w:r>
      <w:r w:rsidR="00383381">
        <w:t xml:space="preserve">unannounced site visits and meal service observation during an unannounced visit </w:t>
      </w:r>
      <w:r w:rsidR="0078546B">
        <w:t xml:space="preserve">for </w:t>
      </w:r>
      <w:r w:rsidR="0077122C">
        <w:t xml:space="preserve">CACFP Sponsor </w:t>
      </w:r>
      <w:r w:rsidR="0078546B">
        <w:t>monitoring during FY20-21</w:t>
      </w:r>
      <w:r w:rsidR="002D0283">
        <w:t>.</w:t>
      </w:r>
    </w:p>
    <w:p w14:paraId="57851D7F" w14:textId="591B6C2E" w:rsidR="00A22D22" w:rsidRPr="00D96748" w:rsidRDefault="00E52B4F" w:rsidP="00147A67">
      <w:pPr>
        <w:widowControl w:val="0"/>
      </w:pPr>
      <w:r>
        <w:t xml:space="preserve">To ensure Program integrity, </w:t>
      </w:r>
      <w:r w:rsidR="007B28E4" w:rsidRPr="00D96748">
        <w:t xml:space="preserve">Sponsors </w:t>
      </w:r>
      <w:r>
        <w:t xml:space="preserve">must </w:t>
      </w:r>
      <w:r w:rsidR="007B28E4" w:rsidRPr="00D96748">
        <w:t>continue to monitor sponsored sites and providers to ensure they are operating in compliance with regulations</w:t>
      </w:r>
      <w:r w:rsidR="00FC2AAF">
        <w:t xml:space="preserve">. </w:t>
      </w:r>
      <w:r w:rsidRPr="00D96748">
        <w:t>Sponsors should consider performing on-site visits for sites</w:t>
      </w:r>
      <w:r w:rsidR="00FC2AAF">
        <w:t xml:space="preserve"> or </w:t>
      </w:r>
      <w:proofErr w:type="gramStart"/>
      <w:r w:rsidR="00FC2AAF">
        <w:t>providers</w:t>
      </w:r>
      <w:r>
        <w:t xml:space="preserve">, </w:t>
      </w:r>
      <w:r w:rsidRPr="00D96748">
        <w:t>if</w:t>
      </w:r>
      <w:proofErr w:type="gramEnd"/>
      <w:r w:rsidRPr="00D96748">
        <w:t xml:space="preserve"> it is </w:t>
      </w:r>
      <w:r>
        <w:t>allowed under current public health recommendations.</w:t>
      </w:r>
      <w:r w:rsidRPr="00D96748">
        <w:t xml:space="preserve"> </w:t>
      </w:r>
      <w:r w:rsidR="00FC2AAF">
        <w:t>If on-site monitoring is not feasible, o</w:t>
      </w:r>
      <w:r w:rsidR="007B28E4" w:rsidRPr="00D96748">
        <w:t>ff-site m</w:t>
      </w:r>
      <w:r w:rsidR="00660C2F" w:rsidRPr="00D96748">
        <w:t xml:space="preserve">onitoring can be performed </w:t>
      </w:r>
      <w:r w:rsidR="00FC2AAF">
        <w:t>in replace</w:t>
      </w:r>
      <w:r w:rsidR="00DA43AE">
        <w:t>ment</w:t>
      </w:r>
      <w:r w:rsidR="00FC2AAF">
        <w:t xml:space="preserve"> </w:t>
      </w:r>
      <w:r w:rsidR="00660C2F" w:rsidRPr="00D96748">
        <w:t>of an on-site review</w:t>
      </w:r>
      <w:r w:rsidR="00FC2AAF">
        <w:t xml:space="preserve"> through a desk audit. </w:t>
      </w:r>
      <w:r w:rsidR="00660C2F" w:rsidRPr="00D96748">
        <w:t xml:space="preserve">Monitoring and oversight can include a variety of different methods to collect </w:t>
      </w:r>
      <w:r w:rsidR="007B28E4" w:rsidRPr="00D96748">
        <w:t xml:space="preserve">the required </w:t>
      </w:r>
      <w:r w:rsidR="00660C2F" w:rsidRPr="00D96748">
        <w:t>information</w:t>
      </w:r>
      <w:r w:rsidR="007B28E4" w:rsidRPr="00D96748">
        <w:t xml:space="preserve"> needed to complete an off-site review</w:t>
      </w:r>
      <w:r w:rsidR="00FC2AAF">
        <w:t xml:space="preserve"> with success</w:t>
      </w:r>
      <w:r w:rsidR="00660C2F" w:rsidRPr="00D96748">
        <w:t>.</w:t>
      </w:r>
      <w:r w:rsidR="007B28E4" w:rsidRPr="00D96748">
        <w:t xml:space="preserve"> </w:t>
      </w:r>
    </w:p>
    <w:p w14:paraId="5D1FF6E2" w14:textId="37F44DE1" w:rsidR="00344A85" w:rsidRPr="00344A85" w:rsidRDefault="00344A85" w:rsidP="00344A85">
      <w:pPr>
        <w:pStyle w:val="Heading1"/>
      </w:pPr>
      <w:r w:rsidRPr="00344A85">
        <w:t>Monitoring Requirements for Fiscal Year 2020-2021</w:t>
      </w:r>
    </w:p>
    <w:p w14:paraId="2887FA15" w14:textId="11B01895" w:rsidR="00344A85" w:rsidRPr="00344A85" w:rsidRDefault="00344A85" w:rsidP="00344A85">
      <w:pPr>
        <w:spacing w:before="0" w:after="0" w:line="240" w:lineRule="auto"/>
      </w:pPr>
      <w:r w:rsidRPr="00344A85">
        <w:t>Sponsors of sites or providers must meet normal monitoring requirements for sponsored programs</w:t>
      </w:r>
      <w:r>
        <w:t xml:space="preserve"> during FY20-21</w:t>
      </w:r>
      <w:r w:rsidRPr="00344A85">
        <w:t xml:space="preserve">. However, these visits may be performed off-site through the nationwide waiver released on August 4, 2020. Below </w:t>
      </w:r>
      <w:proofErr w:type="gramStart"/>
      <w:r w:rsidRPr="00344A85">
        <w:t>outlines</w:t>
      </w:r>
      <w:proofErr w:type="gramEnd"/>
      <w:r w:rsidRPr="00344A85">
        <w:t xml:space="preserve"> the monitoring requirements Sponsoring organizations must meet.</w:t>
      </w:r>
    </w:p>
    <w:p w14:paraId="01BF516C" w14:textId="6DD72BE4" w:rsidR="00344A85" w:rsidRPr="00344A85" w:rsidRDefault="00344A85" w:rsidP="00344A85">
      <w:pPr>
        <w:pStyle w:val="ListParagraph"/>
        <w:numPr>
          <w:ilvl w:val="0"/>
          <w:numId w:val="35"/>
        </w:numPr>
        <w:spacing w:before="0" w:after="0" w:line="240" w:lineRule="auto"/>
        <w:rPr>
          <w:rFonts w:ascii="Palatino Linotype" w:hAnsi="Palatino Linotype"/>
        </w:rPr>
      </w:pPr>
      <w:r w:rsidRPr="00344A85">
        <w:rPr>
          <w:rFonts w:ascii="Palatino Linotype" w:hAnsi="Palatino Linotype"/>
        </w:rPr>
        <w:t>CACFP sponsors must conduct at least three review</w:t>
      </w:r>
      <w:r>
        <w:rPr>
          <w:rFonts w:ascii="Palatino Linotype" w:hAnsi="Palatino Linotype"/>
        </w:rPr>
        <w:t>s</w:t>
      </w:r>
      <w:r w:rsidRPr="00344A85">
        <w:rPr>
          <w:rFonts w:ascii="Palatino Linotype" w:hAnsi="Palatino Linotype"/>
        </w:rPr>
        <w:t xml:space="preserve"> of their CACFP sites</w:t>
      </w:r>
      <w:r w:rsidR="00EE2498">
        <w:rPr>
          <w:rFonts w:ascii="Palatino Linotype" w:hAnsi="Palatino Linotype"/>
        </w:rPr>
        <w:t xml:space="preserve"> or providers</w:t>
      </w:r>
      <w:r w:rsidRPr="00344A85">
        <w:rPr>
          <w:rFonts w:ascii="Palatino Linotype" w:hAnsi="Palatino Linotype"/>
        </w:rPr>
        <w:t>.</w:t>
      </w:r>
    </w:p>
    <w:p w14:paraId="00B796A4" w14:textId="77777777" w:rsidR="00D839AF" w:rsidRDefault="00D839AF" w:rsidP="00D839AF">
      <w:pPr>
        <w:pStyle w:val="ListParagraph"/>
        <w:numPr>
          <w:ilvl w:val="0"/>
          <w:numId w:val="35"/>
        </w:numPr>
        <w:spacing w:before="0" w:after="0" w:line="240" w:lineRule="auto"/>
        <w:contextualSpacing w:val="0"/>
        <w:rPr>
          <w:rFonts w:ascii="Palatino Linotype" w:hAnsi="Palatino Linotype" w:cstheme="minorBidi"/>
          <w:bCs w:val="0"/>
        </w:rPr>
      </w:pPr>
      <w:r>
        <w:rPr>
          <w:rFonts w:ascii="Palatino Linotype" w:hAnsi="Palatino Linotype"/>
        </w:rPr>
        <w:t>No more than 6 months may elapse between site visits.</w:t>
      </w:r>
    </w:p>
    <w:p w14:paraId="1E1AB70B" w14:textId="77777777" w:rsidR="00D839AF" w:rsidRDefault="00D839AF" w:rsidP="00D839AF">
      <w:pPr>
        <w:pStyle w:val="ListParagraph"/>
        <w:numPr>
          <w:ilvl w:val="0"/>
          <w:numId w:val="35"/>
        </w:numPr>
        <w:spacing w:before="0" w:after="0" w:line="240" w:lineRule="auto"/>
        <w:contextualSpacing w:val="0"/>
        <w:rPr>
          <w:rFonts w:ascii="Palatino Linotype" w:hAnsi="Palatino Linotype"/>
        </w:rPr>
      </w:pPr>
      <w:r>
        <w:rPr>
          <w:rFonts w:ascii="Palatino Linotype" w:hAnsi="Palatino Linotype"/>
        </w:rPr>
        <w:t>Pre-approval visits and visits within the first four weeks of operation are required for</w:t>
      </w:r>
    </w:p>
    <w:p w14:paraId="01ECF3F2" w14:textId="77777777" w:rsidR="00D839AF" w:rsidRDefault="00D839AF" w:rsidP="00D839AF">
      <w:pPr>
        <w:pStyle w:val="ListParagraph"/>
        <w:numPr>
          <w:ilvl w:val="0"/>
          <w:numId w:val="35"/>
        </w:numPr>
        <w:spacing w:before="0" w:after="0" w:line="240" w:lineRule="auto"/>
        <w:contextualSpacing w:val="0"/>
        <w:rPr>
          <w:rFonts w:ascii="Palatino Linotype" w:hAnsi="Palatino Linotype"/>
        </w:rPr>
      </w:pPr>
      <w:r>
        <w:rPr>
          <w:rFonts w:ascii="Palatino Linotype" w:hAnsi="Palatino Linotype"/>
        </w:rPr>
        <w:t>new sites or providers.</w:t>
      </w:r>
    </w:p>
    <w:p w14:paraId="7A574CCF" w14:textId="02168B28" w:rsidR="00D839AF" w:rsidRDefault="00D839AF" w:rsidP="00D839AF">
      <w:pPr>
        <w:pStyle w:val="ListParagraph"/>
        <w:numPr>
          <w:ilvl w:val="0"/>
          <w:numId w:val="35"/>
        </w:numPr>
        <w:spacing w:before="0" w:after="0" w:line="240" w:lineRule="auto"/>
        <w:contextualSpacing w:val="0"/>
        <w:rPr>
          <w:rFonts w:ascii="Palatino Linotype" w:hAnsi="Palatino Linotype"/>
        </w:rPr>
      </w:pPr>
      <w:r>
        <w:rPr>
          <w:rFonts w:ascii="Palatino Linotype" w:hAnsi="Palatino Linotype"/>
        </w:rPr>
        <w:t>Pre-approval visits and monitoring site visits may be performed off-site via a desk audit.</w:t>
      </w:r>
    </w:p>
    <w:p w14:paraId="022AAB1C" w14:textId="77777777" w:rsidR="00D839AF" w:rsidRDefault="00D839AF" w:rsidP="00D839AF">
      <w:pPr>
        <w:pStyle w:val="ListParagraph"/>
        <w:numPr>
          <w:ilvl w:val="0"/>
          <w:numId w:val="35"/>
        </w:numPr>
        <w:spacing w:before="0" w:after="0" w:line="240" w:lineRule="auto"/>
        <w:contextualSpacing w:val="0"/>
        <w:rPr>
          <w:rFonts w:ascii="Palatino Linotype" w:hAnsi="Palatino Linotype"/>
        </w:rPr>
      </w:pPr>
      <w:r>
        <w:rPr>
          <w:rFonts w:ascii="Palatino Linotype" w:hAnsi="Palatino Linotype"/>
        </w:rPr>
        <w:t>Sponsors should continue to collect and observe meal service and meal documentation.</w:t>
      </w:r>
    </w:p>
    <w:p w14:paraId="39F31462" w14:textId="77777777" w:rsidR="00D839AF" w:rsidRDefault="00D839AF" w:rsidP="00D839AF">
      <w:pPr>
        <w:pStyle w:val="ListParagraph"/>
        <w:numPr>
          <w:ilvl w:val="0"/>
          <w:numId w:val="35"/>
        </w:numPr>
        <w:spacing w:before="0" w:after="0" w:line="240" w:lineRule="auto"/>
        <w:contextualSpacing w:val="0"/>
        <w:rPr>
          <w:rFonts w:ascii="Palatino Linotype" w:hAnsi="Palatino Linotype"/>
        </w:rPr>
      </w:pPr>
      <w:r>
        <w:rPr>
          <w:rFonts w:ascii="Palatino Linotype" w:hAnsi="Palatino Linotype"/>
        </w:rPr>
        <w:t>Sponsors should continue to perform unannounced visits if possible or when sites are experiencing significant issues of non-compliance.</w:t>
      </w:r>
    </w:p>
    <w:p w14:paraId="1873EEC7" w14:textId="58B2471A" w:rsidR="00EB3C9A" w:rsidRDefault="00EB3C9A" w:rsidP="00EB3C9A">
      <w:pPr>
        <w:pStyle w:val="Heading1"/>
      </w:pPr>
      <w:r>
        <w:t>Desk Audit Review</w:t>
      </w:r>
      <w:r w:rsidR="003B3301">
        <w:t xml:space="preserve"> Guidance</w:t>
      </w:r>
    </w:p>
    <w:p w14:paraId="6B20A162" w14:textId="77777777" w:rsidR="00482B0C" w:rsidRDefault="003B3301" w:rsidP="003B3301">
      <w:r w:rsidRPr="00D96748">
        <w:t xml:space="preserve">Although </w:t>
      </w:r>
      <w:r w:rsidR="005204DB" w:rsidRPr="00D96748">
        <w:t>monitoring</w:t>
      </w:r>
      <w:r w:rsidRPr="00D96748">
        <w:t xml:space="preserve"> reviews may not be able to be conducted on-site, it is still important </w:t>
      </w:r>
      <w:r w:rsidR="007869F0" w:rsidRPr="00D96748">
        <w:t xml:space="preserve">that </w:t>
      </w:r>
      <w:r w:rsidRPr="00D96748">
        <w:t xml:space="preserve">Sponsors monitor </w:t>
      </w:r>
      <w:r w:rsidR="005204DB" w:rsidRPr="00D96748">
        <w:t xml:space="preserve">operations of participating CACFP sites or providers. </w:t>
      </w:r>
      <w:r w:rsidR="00975E44">
        <w:t xml:space="preserve">Sponsors will still be </w:t>
      </w:r>
      <w:r w:rsidR="00975E44">
        <w:lastRenderedPageBreak/>
        <w:t xml:space="preserve">expected to complete </w:t>
      </w:r>
      <w:r w:rsidR="007E75DB">
        <w:t xml:space="preserve">the required </w:t>
      </w:r>
      <w:r w:rsidR="00975E44">
        <w:t xml:space="preserve">monitoring visits (pre-approval visits, first visit </w:t>
      </w:r>
      <w:r w:rsidR="007E75DB">
        <w:t>within</w:t>
      </w:r>
      <w:r w:rsidR="00975E44">
        <w:t xml:space="preserve"> four weeks of operation, site monitoring </w:t>
      </w:r>
      <w:r w:rsidR="007E75DB">
        <w:t xml:space="preserve">reviews </w:t>
      </w:r>
      <w:r w:rsidR="00975E44">
        <w:t xml:space="preserve">and follow-up visits) for all sites or providers. </w:t>
      </w:r>
      <w:r w:rsidR="007E75DB">
        <w:t>However, t</w:t>
      </w:r>
      <w:r w:rsidR="00975E44">
        <w:t>his can now be accomplished through a desk audit off-site.</w:t>
      </w:r>
    </w:p>
    <w:p w14:paraId="3FDDE39D" w14:textId="02073FA0" w:rsidR="00975E44" w:rsidRDefault="005204DB" w:rsidP="003B3301">
      <w:r w:rsidRPr="00D96748">
        <w:t>Desk reviews may be used for paperwork-centric areas such as enrollment and income eligibility form</w:t>
      </w:r>
      <w:r w:rsidR="007869F0" w:rsidRPr="00D96748">
        <w:t>s</w:t>
      </w:r>
      <w:r w:rsidRPr="00D96748">
        <w:t xml:space="preserve">, menus, meal records, meal counts, five-day reconciliation, </w:t>
      </w:r>
      <w:r w:rsidR="00E01397">
        <w:t>five</w:t>
      </w:r>
      <w:r w:rsidR="00367AFF">
        <w:t xml:space="preserve">-day reconciliation, </w:t>
      </w:r>
      <w:proofErr w:type="gramStart"/>
      <w:r w:rsidR="007869F0" w:rsidRPr="00D96748">
        <w:t>receipts</w:t>
      </w:r>
      <w:proofErr w:type="gramEnd"/>
      <w:r w:rsidR="007869F0" w:rsidRPr="00D96748">
        <w:t xml:space="preserve"> and monthly expenditures (if applicable), </w:t>
      </w:r>
      <w:r w:rsidRPr="00D96748">
        <w:t>and training completion</w:t>
      </w:r>
      <w:r w:rsidR="00D96748">
        <w:t xml:space="preserve"> documentation</w:t>
      </w:r>
      <w:r w:rsidRPr="00D96748">
        <w:t xml:space="preserve">. </w:t>
      </w:r>
      <w:r w:rsidR="007362D8">
        <w:t xml:space="preserve">Providers and sites sending personal identifying information to Sponsors via email should be sent in a secure email to protect this information. </w:t>
      </w:r>
      <w:r w:rsidR="005D1034">
        <w:t xml:space="preserve">Sponsors should consider developing a comprehensive checklist of documents needed for review to send to </w:t>
      </w:r>
      <w:r w:rsidR="007362D8">
        <w:t xml:space="preserve">providers and </w:t>
      </w:r>
      <w:r w:rsidR="005D1034">
        <w:t xml:space="preserve">sites. </w:t>
      </w:r>
      <w:r w:rsidRPr="00D96748">
        <w:t xml:space="preserve">It would still be expected that </w:t>
      </w:r>
      <w:r w:rsidR="006D5068">
        <w:t xml:space="preserve">the </w:t>
      </w:r>
      <w:r w:rsidRPr="00D96748">
        <w:t xml:space="preserve">Sponsor complete the applicable site review form when performing desk reviews for documentation purposes. </w:t>
      </w:r>
    </w:p>
    <w:p w14:paraId="6EA1F20A" w14:textId="3A9D0184" w:rsidR="005204DB" w:rsidRPr="00D96748" w:rsidRDefault="005204DB" w:rsidP="003B3301">
      <w:r w:rsidRPr="00D96748">
        <w:t>Once</w:t>
      </w:r>
      <w:r w:rsidR="00975E44">
        <w:t xml:space="preserve"> the monitoring review is</w:t>
      </w:r>
      <w:r w:rsidRPr="00D96748">
        <w:t xml:space="preserve"> completed, the Sponsor must review the form with the provider </w:t>
      </w:r>
      <w:r w:rsidR="00D96748">
        <w:t xml:space="preserve">or site </w:t>
      </w:r>
      <w:r w:rsidRPr="00D96748">
        <w:t xml:space="preserve">via telephone, </w:t>
      </w:r>
      <w:proofErr w:type="gramStart"/>
      <w:r w:rsidRPr="00D96748">
        <w:t>email</w:t>
      </w:r>
      <w:proofErr w:type="gramEnd"/>
      <w:r w:rsidRPr="00D96748">
        <w:t xml:space="preserve"> or video </w:t>
      </w:r>
      <w:r w:rsidR="007869F0" w:rsidRPr="00D96748">
        <w:t xml:space="preserve">call </w:t>
      </w:r>
      <w:r w:rsidRPr="00D96748">
        <w:t xml:space="preserve">to go over any findings, corrective action or technical assistance </w:t>
      </w:r>
      <w:r w:rsidR="00367AFF">
        <w:t>needed</w:t>
      </w:r>
      <w:r w:rsidRPr="00D96748">
        <w:t xml:space="preserve">. </w:t>
      </w:r>
      <w:r w:rsidR="007362D8">
        <w:t xml:space="preserve">Sponsors are still expected to </w:t>
      </w:r>
      <w:r w:rsidR="005D1034">
        <w:t>prescribe</w:t>
      </w:r>
      <w:r w:rsidR="007362D8">
        <w:t xml:space="preserve"> and document corrective action</w:t>
      </w:r>
      <w:r w:rsidR="005D1034">
        <w:t xml:space="preserve"> as they would under normal circumstances. </w:t>
      </w:r>
      <w:r w:rsidRPr="00D96748">
        <w:t>The Sponsor will</w:t>
      </w:r>
      <w:r w:rsidR="00975E44">
        <w:t xml:space="preserve"> </w:t>
      </w:r>
      <w:r w:rsidR="005D1034">
        <w:t xml:space="preserve">then </w:t>
      </w:r>
      <w:r w:rsidR="00975E44">
        <w:t>provide</w:t>
      </w:r>
      <w:r w:rsidRPr="00D96748">
        <w:t xml:space="preserve"> the form </w:t>
      </w:r>
      <w:r w:rsidR="00D96748">
        <w:t>to</w:t>
      </w:r>
      <w:r w:rsidRPr="00D96748">
        <w:t xml:space="preserve"> the provider </w:t>
      </w:r>
      <w:r w:rsidR="00D96748">
        <w:t xml:space="preserve">or site supervisor </w:t>
      </w:r>
      <w:r w:rsidRPr="00D96748">
        <w:t>to sign</w:t>
      </w:r>
      <w:r w:rsidR="00975E44">
        <w:t xml:space="preserve">, </w:t>
      </w:r>
      <w:r w:rsidR="00367AFF">
        <w:t>which</w:t>
      </w:r>
      <w:r w:rsidR="00975E44">
        <w:t xml:space="preserve"> can be done through mail, </w:t>
      </w:r>
      <w:r w:rsidR="00975E44" w:rsidRPr="00FC66CC">
        <w:t>fax</w:t>
      </w:r>
      <w:r w:rsidR="00975E44">
        <w:t xml:space="preserve">, </w:t>
      </w:r>
      <w:r w:rsidR="00975E44" w:rsidRPr="00FC66CC">
        <w:t>or email</w:t>
      </w:r>
      <w:r w:rsidR="00367AFF">
        <w:t>, and submitted back to the Sponsor</w:t>
      </w:r>
      <w:r w:rsidR="00975E44" w:rsidRPr="00FC66CC">
        <w:t>.</w:t>
      </w:r>
      <w:r w:rsidR="00975E44">
        <w:t xml:space="preserve"> </w:t>
      </w:r>
      <w:r w:rsidR="008E08DC">
        <w:t xml:space="preserve">Electronic signatures are an acceptable method to obtain verifying signatures from the </w:t>
      </w:r>
      <w:r w:rsidR="00367AFF">
        <w:t xml:space="preserve">site supervisor or </w:t>
      </w:r>
      <w:r w:rsidR="008E08DC">
        <w:t>provider.</w:t>
      </w:r>
      <w:r w:rsidR="00975E44">
        <w:t xml:space="preserve"> </w:t>
      </w:r>
      <w:r w:rsidR="00367AFF">
        <w:t>All review forms</w:t>
      </w:r>
      <w:r w:rsidR="00975E44">
        <w:t xml:space="preserve"> must be </w:t>
      </w:r>
      <w:r w:rsidR="00975E44" w:rsidRPr="00FC66CC">
        <w:t>maintain</w:t>
      </w:r>
      <w:r w:rsidR="00975E44">
        <w:t>ed</w:t>
      </w:r>
      <w:r w:rsidR="00975E44" w:rsidRPr="00FC66CC">
        <w:t xml:space="preserve"> on file for at least </w:t>
      </w:r>
      <w:r w:rsidR="00E01397">
        <w:t>three</w:t>
      </w:r>
      <w:r w:rsidR="00975E44" w:rsidRPr="00FC66CC">
        <w:t xml:space="preserve"> years, plus the current year</w:t>
      </w:r>
      <w:r w:rsidR="00367AFF">
        <w:t>.</w:t>
      </w:r>
    </w:p>
    <w:p w14:paraId="269FF4E2" w14:textId="344FFAF9" w:rsidR="00660C2F" w:rsidRPr="00D96748" w:rsidRDefault="00975E44" w:rsidP="00650C24">
      <w:r>
        <w:t xml:space="preserve">Sites and providers must still comply with regulations that have not been waived through </w:t>
      </w:r>
      <w:r w:rsidR="00367AFF">
        <w:t>n</w:t>
      </w:r>
      <w:r>
        <w:t xml:space="preserve">ationwide or </w:t>
      </w:r>
      <w:r w:rsidR="00367AFF">
        <w:t>s</w:t>
      </w:r>
      <w:r>
        <w:t>tate</w:t>
      </w:r>
      <w:r w:rsidR="00E01397">
        <w:t>-</w:t>
      </w:r>
      <w:r>
        <w:t>specific waivers. Sponsors should continue to perform vi</w:t>
      </w:r>
      <w:r w:rsidR="003B3301" w:rsidRPr="00D96748">
        <w:t xml:space="preserve">sual observations </w:t>
      </w:r>
      <w:r>
        <w:t>of</w:t>
      </w:r>
      <w:r w:rsidR="003B3301" w:rsidRPr="00D96748">
        <w:t xml:space="preserve"> meal preparation</w:t>
      </w:r>
      <w:r>
        <w:t xml:space="preserve"> and service</w:t>
      </w:r>
      <w:r w:rsidR="003B3301" w:rsidRPr="00D96748">
        <w:t xml:space="preserve">, </w:t>
      </w:r>
      <w:r>
        <w:t xml:space="preserve">meal counting, </w:t>
      </w:r>
      <w:r w:rsidR="003B3301" w:rsidRPr="00D96748">
        <w:t>verification of attendance</w:t>
      </w:r>
      <w:r w:rsidR="00E01397">
        <w:t>,</w:t>
      </w:r>
      <w:r w:rsidR="003B3301" w:rsidRPr="00D96748">
        <w:t xml:space="preserve"> and food safety</w:t>
      </w:r>
      <w:r>
        <w:t xml:space="preserve"> and sanitation</w:t>
      </w:r>
      <w:r w:rsidR="003B3301" w:rsidRPr="00D96748">
        <w:t xml:space="preserve"> issues</w:t>
      </w:r>
      <w:r w:rsidR="00650C24" w:rsidRPr="00D96748">
        <w:t xml:space="preserve"> during off-site reviews</w:t>
      </w:r>
      <w:r w:rsidR="003B3301" w:rsidRPr="00D96748">
        <w:t xml:space="preserve">. Examples of alternative observation methods Sponsors can utilize are </w:t>
      </w:r>
      <w:r w:rsidR="0044264D">
        <w:t xml:space="preserve">live </w:t>
      </w:r>
      <w:r w:rsidR="003B3301" w:rsidRPr="00D96748">
        <w:t>video</w:t>
      </w:r>
      <w:r w:rsidR="0044264D">
        <w:t xml:space="preserve"> call via phone or computer</w:t>
      </w:r>
      <w:r>
        <w:t xml:space="preserve"> to observe </w:t>
      </w:r>
      <w:r w:rsidR="0044264D">
        <w:t xml:space="preserve">visual parts of the review such as </w:t>
      </w:r>
      <w:r>
        <w:t>meal preparation</w:t>
      </w:r>
      <w:r w:rsidR="0044264D">
        <w:t xml:space="preserve">, </w:t>
      </w:r>
      <w:r>
        <w:t>meal service</w:t>
      </w:r>
      <w:r w:rsidR="00367AFF">
        <w:t>,</w:t>
      </w:r>
      <w:r w:rsidR="0044264D">
        <w:t xml:space="preserve"> </w:t>
      </w:r>
      <w:r w:rsidR="00367AFF">
        <w:t xml:space="preserve">and </w:t>
      </w:r>
      <w:r w:rsidR="0044264D">
        <w:t>food storage and safety</w:t>
      </w:r>
      <w:r w:rsidR="0044264D" w:rsidRPr="00D96748">
        <w:t>.</w:t>
      </w:r>
      <w:r>
        <w:t xml:space="preserve"> Photos and/or p</w:t>
      </w:r>
      <w:r w:rsidR="003B3301" w:rsidRPr="00D96748">
        <w:t>ictures of food storage, meal preparation and meal service</w:t>
      </w:r>
      <w:r>
        <w:t xml:space="preserve"> can also be submitted as proper documentation </w:t>
      </w:r>
      <w:r w:rsidR="00367AFF">
        <w:t>if</w:t>
      </w:r>
      <w:r>
        <w:t xml:space="preserve"> the Sponsor can verify compliance</w:t>
      </w:r>
      <w:r w:rsidR="003B3301" w:rsidRPr="00D96748">
        <w:t>.</w:t>
      </w:r>
    </w:p>
    <w:p w14:paraId="04066AFB" w14:textId="301F3ABF" w:rsidR="0044264D" w:rsidRDefault="0044264D" w:rsidP="007869F0">
      <w:pPr>
        <w:pStyle w:val="Heading1"/>
      </w:pPr>
      <w:r>
        <w:t>CACFP Monitoring Forms</w:t>
      </w:r>
    </w:p>
    <w:p w14:paraId="391D8DA0" w14:textId="284A92C7" w:rsidR="0044264D" w:rsidRDefault="0044264D" w:rsidP="0044264D">
      <w:r>
        <w:t xml:space="preserve">All of the monitoring forms for Sponsors of sites are available on the Vermont Agency of Education Child Nutrition Programs </w:t>
      </w:r>
      <w:hyperlink r:id="rId12" w:history="1">
        <w:r w:rsidRPr="0044264D">
          <w:rPr>
            <w:rStyle w:val="Hyperlink"/>
            <w:rFonts w:cs="Calibri"/>
          </w:rPr>
          <w:t>CACFP page</w:t>
        </w:r>
      </w:hyperlink>
      <w:r>
        <w:t>. Day Care Home (DCH) Sponsors can contact the State agency for additional monitoring forms.</w:t>
      </w:r>
    </w:p>
    <w:p w14:paraId="567AFC65" w14:textId="1ED468D4" w:rsidR="0044264D" w:rsidRPr="00C33882" w:rsidRDefault="00B54BD0" w:rsidP="00C33882">
      <w:pPr>
        <w:pStyle w:val="ListParagraph"/>
        <w:numPr>
          <w:ilvl w:val="0"/>
          <w:numId w:val="34"/>
        </w:numPr>
        <w:rPr>
          <w:rFonts w:ascii="Palatino Linotype" w:hAnsi="Palatino Linotype"/>
        </w:rPr>
      </w:pPr>
      <w:hyperlink r:id="rId13" w:history="1">
        <w:r w:rsidR="0044264D" w:rsidRPr="00C33882">
          <w:rPr>
            <w:rStyle w:val="Hyperlink"/>
            <w:rFonts w:ascii="Palatino Linotype" w:hAnsi="Palatino Linotype" w:cs="Calibri"/>
          </w:rPr>
          <w:t>CACFP Planned Monitoring Schedule</w:t>
        </w:r>
      </w:hyperlink>
    </w:p>
    <w:p w14:paraId="55C642AA" w14:textId="708CD8BE" w:rsidR="00C33882" w:rsidRPr="00C33882" w:rsidRDefault="00B54BD0" w:rsidP="00C33882">
      <w:pPr>
        <w:pStyle w:val="ListParagraph"/>
        <w:numPr>
          <w:ilvl w:val="0"/>
          <w:numId w:val="34"/>
        </w:numPr>
        <w:rPr>
          <w:rFonts w:ascii="Palatino Linotype" w:hAnsi="Palatino Linotype"/>
        </w:rPr>
      </w:pPr>
      <w:hyperlink r:id="rId14" w:history="1">
        <w:r w:rsidR="00C33882" w:rsidRPr="00C33882">
          <w:rPr>
            <w:rStyle w:val="Hyperlink"/>
            <w:rFonts w:ascii="Palatino Linotype" w:hAnsi="Palatino Linotype" w:cs="Calibri"/>
          </w:rPr>
          <w:t>CACFP Monitoring Log</w:t>
        </w:r>
      </w:hyperlink>
      <w:r w:rsidR="00C33882" w:rsidRPr="00C33882">
        <w:rPr>
          <w:rFonts w:ascii="Palatino Linotype" w:hAnsi="Palatino Linotype"/>
        </w:rPr>
        <w:t xml:space="preserve"> </w:t>
      </w:r>
    </w:p>
    <w:p w14:paraId="79B6B495" w14:textId="56510974" w:rsidR="0044264D" w:rsidRPr="00C33882" w:rsidRDefault="00B54BD0" w:rsidP="00C33882">
      <w:pPr>
        <w:pStyle w:val="ListParagraph"/>
        <w:numPr>
          <w:ilvl w:val="0"/>
          <w:numId w:val="34"/>
        </w:numPr>
        <w:rPr>
          <w:rFonts w:ascii="Palatino Linotype" w:hAnsi="Palatino Linotype"/>
        </w:rPr>
      </w:pPr>
      <w:hyperlink r:id="rId15" w:history="1">
        <w:r w:rsidR="0044264D" w:rsidRPr="00C33882">
          <w:rPr>
            <w:rStyle w:val="Hyperlink"/>
            <w:rFonts w:ascii="Palatino Linotype" w:hAnsi="Palatino Linotype" w:cs="Calibri"/>
          </w:rPr>
          <w:t>Site Review Form</w:t>
        </w:r>
      </w:hyperlink>
    </w:p>
    <w:p w14:paraId="4476B4DC" w14:textId="77777777" w:rsidR="0044264D" w:rsidRDefault="0044264D" w:rsidP="0044264D">
      <w:pPr>
        <w:pStyle w:val="Heading1"/>
      </w:pPr>
      <w:r>
        <w:t>Pre-Approval Visits</w:t>
      </w:r>
    </w:p>
    <w:p w14:paraId="1905450D" w14:textId="2D5532D0" w:rsidR="0044264D" w:rsidRPr="00D96748" w:rsidRDefault="0044264D" w:rsidP="0044264D">
      <w:r w:rsidRPr="00D96748">
        <w:t xml:space="preserve">Sponsors of </w:t>
      </w:r>
      <w:r w:rsidR="00A431E3">
        <w:t>sites</w:t>
      </w:r>
      <w:r w:rsidRPr="00D96748">
        <w:t xml:space="preserve"> and DCH </w:t>
      </w:r>
      <w:r>
        <w:t>S</w:t>
      </w:r>
      <w:r w:rsidRPr="00D96748">
        <w:t xml:space="preserve">ponsors may continue to bring on new sites and providers during this time </w:t>
      </w:r>
      <w:r w:rsidR="00A431E3" w:rsidRPr="00D96748">
        <w:t>if</w:t>
      </w:r>
      <w:r w:rsidRPr="00D96748">
        <w:t xml:space="preserve"> they meet all licensing regulations or applicable state or local laws. Sponsors must perform pre-approval visit</w:t>
      </w:r>
      <w:r w:rsidR="00A431E3">
        <w:t>s</w:t>
      </w:r>
      <w:r w:rsidRPr="00D96748">
        <w:t xml:space="preserve"> of </w:t>
      </w:r>
      <w:r w:rsidR="00A431E3">
        <w:t xml:space="preserve">new </w:t>
      </w:r>
      <w:r w:rsidRPr="00D96748">
        <w:t>sites and providers prior to operation</w:t>
      </w:r>
      <w:r w:rsidR="00A431E3">
        <w:t xml:space="preserve"> of the CACFP</w:t>
      </w:r>
      <w:r w:rsidRPr="00D96748">
        <w:t xml:space="preserve">. </w:t>
      </w:r>
    </w:p>
    <w:p w14:paraId="7A36B120" w14:textId="391CFDCD" w:rsidR="0044264D" w:rsidRPr="00D96748" w:rsidRDefault="0044264D" w:rsidP="0044264D">
      <w:r w:rsidRPr="00D96748">
        <w:lastRenderedPageBreak/>
        <w:t xml:space="preserve">Sponsors have a variety of ways they can continue to fulfill the pre-approval visit requirements. Sponsors can perform pre-approval visits over the telephone or computer and provide materials via mail or e-mail. Pre-approval visits must cover Program benefits and requirements and Sponsors must ensure providers and sites can provide their proposed food service operations. An application and program agreement must be completed between the DCH Sponsor and provider, </w:t>
      </w:r>
      <w:proofErr w:type="gramStart"/>
      <w:r w:rsidRPr="00D96748">
        <w:t>entered into</w:t>
      </w:r>
      <w:proofErr w:type="gramEnd"/>
      <w:r w:rsidRPr="00D96748">
        <w:t xml:space="preserve"> the CNP application and claiming system and approved by the State agency for the provider to participate in the CACFP. Sponsors of </w:t>
      </w:r>
      <w:r w:rsidR="00A431E3">
        <w:t>site</w:t>
      </w:r>
      <w:r w:rsidRPr="00D96748">
        <w:t>s must complete an online site application</w:t>
      </w:r>
      <w:r w:rsidR="00A431E3">
        <w:t>, s</w:t>
      </w:r>
      <w:r w:rsidRPr="00D96748">
        <w:t xml:space="preserve">ubmit the additional required </w:t>
      </w:r>
      <w:proofErr w:type="gramStart"/>
      <w:r w:rsidRPr="00D96748">
        <w:t>documentation</w:t>
      </w:r>
      <w:proofErr w:type="gramEnd"/>
      <w:r w:rsidRPr="00D96748">
        <w:t xml:space="preserve"> and must be approved by the State agency prior to operation. It is suggested that Sponsors continue to conduct pre-approval visits in a similar fashion as if they were performed on-site. </w:t>
      </w:r>
    </w:p>
    <w:p w14:paraId="1F361BAD" w14:textId="371BA232" w:rsidR="0044264D" w:rsidRDefault="0044264D" w:rsidP="0044264D">
      <w:pPr>
        <w:rPr>
          <w:sz w:val="24"/>
          <w:szCs w:val="24"/>
        </w:rPr>
      </w:pPr>
      <w:r w:rsidRPr="00D96748">
        <w:t xml:space="preserve">In order for the Sponsor to ensure the provider or site can provide appropriate meal services, the Sponsor </w:t>
      </w:r>
      <w:r w:rsidR="00A431E3">
        <w:t>should</w:t>
      </w:r>
      <w:r w:rsidRPr="00D96748">
        <w:t xml:space="preserve"> request the provider </w:t>
      </w:r>
      <w:r>
        <w:t xml:space="preserve">or </w:t>
      </w:r>
      <w:r w:rsidRPr="00D96748">
        <w:t xml:space="preserve">site to provide other alternative forms of documentation for observation. Examples include </w:t>
      </w:r>
      <w:r w:rsidR="00A431E3">
        <w:t xml:space="preserve">live </w:t>
      </w:r>
      <w:r w:rsidRPr="00D96748">
        <w:t>video</w:t>
      </w:r>
      <w:r w:rsidR="00A431E3">
        <w:t xml:space="preserve"> call</w:t>
      </w:r>
      <w:r w:rsidRPr="00D96748">
        <w:t xml:space="preserve"> or photo and/or pictures of food storage, meal preparation and meal service.  </w:t>
      </w:r>
    </w:p>
    <w:p w14:paraId="79D089D8" w14:textId="77777777" w:rsidR="0044264D" w:rsidRDefault="0044264D" w:rsidP="0044264D">
      <w:pPr>
        <w:pStyle w:val="Heading1"/>
      </w:pPr>
      <w:r>
        <w:t>Visits within the First Four Weeks of Operation</w:t>
      </w:r>
    </w:p>
    <w:p w14:paraId="7DE49009" w14:textId="174064E6" w:rsidR="0044264D" w:rsidRPr="0044264D" w:rsidRDefault="0044264D" w:rsidP="0044264D">
      <w:r w:rsidRPr="00D96748">
        <w:t xml:space="preserve">Within four weeks of a new site or provider operating the CACFP, Sponsors must complete the required first visit. </w:t>
      </w:r>
      <w:r w:rsidR="00A431E3">
        <w:t xml:space="preserve">This </w:t>
      </w:r>
      <w:r w:rsidRPr="00D96748">
        <w:t>visit does not have to occur on-site</w:t>
      </w:r>
      <w:r w:rsidR="00A431E3">
        <w:t xml:space="preserve"> for FY20-21. </w:t>
      </w:r>
      <w:r w:rsidRPr="00D96748">
        <w:t xml:space="preserve">The Sponsor should review all hardcopy materials that are typically reviewed during an on-site review. Records can be mailed, faxed, </w:t>
      </w:r>
      <w:proofErr w:type="gramStart"/>
      <w:r w:rsidRPr="00D96748">
        <w:t>e-mailed</w:t>
      </w:r>
      <w:proofErr w:type="gramEnd"/>
      <w:r w:rsidRPr="00D96748">
        <w:t xml:space="preserve"> or delivered to the Sponsor by the site or provider. This would include reviewing copies of up-to-date attendance records, </w:t>
      </w:r>
      <w:proofErr w:type="gramStart"/>
      <w:r w:rsidRPr="00D96748">
        <w:t>enrollment</w:t>
      </w:r>
      <w:proofErr w:type="gramEnd"/>
      <w:r w:rsidRPr="00D96748">
        <w:t xml:space="preserve"> and income eligibility forms (if applicable), master lists (if applicable), menus, meal counts, performing the </w:t>
      </w:r>
      <w:r w:rsidR="00E01397">
        <w:t>five</w:t>
      </w:r>
      <w:r w:rsidRPr="00D96748">
        <w:t>-day reconciliation, and training completion</w:t>
      </w:r>
      <w:r>
        <w:t xml:space="preserve"> materials</w:t>
      </w:r>
      <w:r w:rsidRPr="00D96748">
        <w:t xml:space="preserve">. </w:t>
      </w:r>
    </w:p>
    <w:p w14:paraId="6800F990" w14:textId="5780D208" w:rsidR="007869F0" w:rsidRPr="007869F0" w:rsidRDefault="007869F0" w:rsidP="007869F0">
      <w:pPr>
        <w:pStyle w:val="Heading1"/>
      </w:pPr>
      <w:r w:rsidRPr="007869F0">
        <w:t>Technical Assistance</w:t>
      </w:r>
    </w:p>
    <w:p w14:paraId="0872F630" w14:textId="102D60D7" w:rsidR="007869F0" w:rsidRDefault="007869F0" w:rsidP="007869F0">
      <w:r w:rsidRPr="00D96748">
        <w:t>Sponsors are expected to continue offering technical assistance as necessary to their providers and sites. This may include phone calls, e-mail communications, video calling or other methods of virtual communication. Technical assistance may be documented by maintaining a log of communications including topic(s) covered, names of people in attendance, method of communication (phone call, e-mail, etc.), date of communication and a verifying signature.</w:t>
      </w:r>
    </w:p>
    <w:p w14:paraId="44E2DA21" w14:textId="4F14BC51" w:rsidR="000D049C" w:rsidRPr="000D049C" w:rsidRDefault="000D049C" w:rsidP="000D049C">
      <w:pPr>
        <w:pStyle w:val="Heading1"/>
      </w:pPr>
      <w:r>
        <w:t>Annual Training Requirements</w:t>
      </w:r>
    </w:p>
    <w:p w14:paraId="47F71ECF" w14:textId="0A1CED5C" w:rsidR="007869F0" w:rsidRDefault="007869F0" w:rsidP="007869F0">
      <w:r w:rsidRPr="00D96748">
        <w:t>Sponsors, their sites and providers are still required to meet annual training requirements, and Sponsors should plan methods of meeting annual training requirements before the fiscal year ends on September 30</w:t>
      </w:r>
      <w:r w:rsidR="000D049C">
        <w:t>, 202</w:t>
      </w:r>
      <w:r w:rsidR="003807B6">
        <w:t>1</w:t>
      </w:r>
      <w:r w:rsidRPr="00D96748">
        <w:t xml:space="preserve">. This could include e-mailing webinar opportunities to sites and providers, enrolling staff in online trainings, or holding trainings with staff over virtual meetings. </w:t>
      </w:r>
      <w:r w:rsidR="000D049C">
        <w:t>All t</w:t>
      </w:r>
      <w:r w:rsidRPr="00D96748">
        <w:t>raining</w:t>
      </w:r>
      <w:r w:rsidR="000D049C">
        <w:t>s</w:t>
      </w:r>
      <w:r w:rsidRPr="00D96748">
        <w:t xml:space="preserve"> must be documented</w:t>
      </w:r>
      <w:r w:rsidR="000D049C">
        <w:t xml:space="preserve"> with the date of the training, individual performing the training, and names and signatures from attendees</w:t>
      </w:r>
      <w:r w:rsidRPr="00D96748">
        <w:t xml:space="preserve">. Trainings may be documented using the </w:t>
      </w:r>
      <w:hyperlink r:id="rId16" w:history="1">
        <w:r w:rsidRPr="00D96748">
          <w:rPr>
            <w:rStyle w:val="Hyperlink"/>
            <w:rFonts w:cs="Calibri"/>
          </w:rPr>
          <w:t>CACFP Training Certification Sheet</w:t>
        </w:r>
      </w:hyperlink>
      <w:r w:rsidR="000D049C">
        <w:t xml:space="preserve">. If signatures from attendees cannot be obtained, certificates could be created </w:t>
      </w:r>
      <w:r w:rsidR="00050326">
        <w:t xml:space="preserve">by the </w:t>
      </w:r>
      <w:r w:rsidR="007E7218">
        <w:t xml:space="preserve">Sponsoring </w:t>
      </w:r>
      <w:r w:rsidR="00050326">
        <w:t>organization to provide to attendees to document attendance of the training.</w:t>
      </w:r>
    </w:p>
    <w:p w14:paraId="76936715" w14:textId="42918C2F" w:rsidR="0044264D" w:rsidRPr="00515349" w:rsidRDefault="0044264D" w:rsidP="00515349">
      <w:pPr>
        <w:pStyle w:val="Heading1"/>
      </w:pPr>
      <w:r w:rsidRPr="00515349">
        <w:t>State Age</w:t>
      </w:r>
      <w:r w:rsidR="00515349" w:rsidRPr="00515349">
        <w:t>ncy Reviews</w:t>
      </w:r>
    </w:p>
    <w:p w14:paraId="4B7EC2A3" w14:textId="5D873158" w:rsidR="005F4613" w:rsidRDefault="00515349" w:rsidP="005F4613">
      <w:r>
        <w:lastRenderedPageBreak/>
        <w:t xml:space="preserve">In response to COVID-19, </w:t>
      </w:r>
      <w:r w:rsidR="004C64DC">
        <w:t>o</w:t>
      </w:r>
      <w:r>
        <w:t xml:space="preserve">n </w:t>
      </w:r>
      <w:r w:rsidR="004C64DC">
        <w:t xml:space="preserve">March 27 and </w:t>
      </w:r>
      <w:r>
        <w:t xml:space="preserve">April 24, 2020, USDA released </w:t>
      </w:r>
      <w:r w:rsidR="004C64DC">
        <w:t>two</w:t>
      </w:r>
      <w:r>
        <w:t xml:space="preserve"> nationwide waiver</w:t>
      </w:r>
      <w:r w:rsidR="004C64DC">
        <w:t>s, which waived the</w:t>
      </w:r>
      <w:r>
        <w:t xml:space="preserve"> annual review </w:t>
      </w:r>
      <w:r w:rsidR="004C64DC">
        <w:t xml:space="preserve">and on-site </w:t>
      </w:r>
      <w:r>
        <w:t xml:space="preserve">requirements for State agencies in the CACFP. </w:t>
      </w:r>
      <w:r w:rsidR="004C64DC">
        <w:t xml:space="preserve">Programs </w:t>
      </w:r>
      <w:r w:rsidR="005D1034">
        <w:t xml:space="preserve">scheduled to be reviewed in FY19-20 </w:t>
      </w:r>
      <w:r>
        <w:t>will be reviewed in FY20-21. On August 4, 2020, USDA extended the nationwide waiver suspending</w:t>
      </w:r>
      <w:r w:rsidR="004C64DC">
        <w:t xml:space="preserve"> the requirement to perform</w:t>
      </w:r>
      <w:r>
        <w:t xml:space="preserve"> CACFP administrative reviews </w:t>
      </w:r>
      <w:r w:rsidR="004C64DC">
        <w:t xml:space="preserve">on-site </w:t>
      </w:r>
      <w:r>
        <w:t>until September 30, 2021.</w:t>
      </w:r>
      <w:r w:rsidR="005F4613">
        <w:t xml:space="preserve"> This waiver continues to support social distancing efforts to </w:t>
      </w:r>
      <w:r w:rsidR="005F4613" w:rsidRPr="00D96748">
        <w:t xml:space="preserve">maintain the safety of all </w:t>
      </w:r>
      <w:r w:rsidR="005F4613">
        <w:t>Program operators</w:t>
      </w:r>
      <w:r w:rsidR="004C64DC">
        <w:t xml:space="preserve"> during COVID-19</w:t>
      </w:r>
      <w:r w:rsidR="005F4613">
        <w:t xml:space="preserve">. Therefore, the State agency will </w:t>
      </w:r>
      <w:r w:rsidR="00482B0C">
        <w:t>conduct FY20-21</w:t>
      </w:r>
      <w:r w:rsidR="005F4613">
        <w:t xml:space="preserve"> CACFP administrative review</w:t>
      </w:r>
      <w:r w:rsidR="004C64DC">
        <w:t>s</w:t>
      </w:r>
      <w:r w:rsidR="005F4613">
        <w:t xml:space="preserve"> </w:t>
      </w:r>
      <w:r w:rsidR="00482B0C">
        <w:t>consisting</w:t>
      </w:r>
      <w:r w:rsidR="005F4613">
        <w:t xml:space="preserve"> of a paperwork review through a desk audit. </w:t>
      </w:r>
    </w:p>
    <w:p w14:paraId="267CF0E2" w14:textId="2231E7DE" w:rsidR="00482B0C" w:rsidRDefault="00482B0C" w:rsidP="005F4613"/>
    <w:p w14:paraId="229AC199" w14:textId="77777777" w:rsidR="00874E3B" w:rsidRDefault="00874E3B" w:rsidP="003B0002">
      <w:pPr>
        <w:shd w:val="clear" w:color="auto" w:fill="FFFFFF"/>
        <w:spacing w:after="240" w:line="360" w:lineRule="atLeast"/>
      </w:pPr>
    </w:p>
    <w:p w14:paraId="3F1C0793" w14:textId="2601C58D" w:rsidR="003B0002" w:rsidRPr="003B0002" w:rsidRDefault="003B0002" w:rsidP="003B0002">
      <w:pPr>
        <w:shd w:val="clear" w:color="auto" w:fill="FFFFFF"/>
        <w:spacing w:after="240" w:line="360" w:lineRule="atLeast"/>
        <w:rPr>
          <w:rFonts w:cs="Times New Roman"/>
          <w:bCs w:val="0"/>
          <w:color w:val="333333"/>
        </w:rPr>
      </w:pPr>
      <w:r w:rsidRPr="003B0002">
        <w:rPr>
          <w:color w:val="33333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15B717D" w14:textId="77777777" w:rsidR="003B0002" w:rsidRPr="003B0002" w:rsidRDefault="003B0002" w:rsidP="003B0002">
      <w:pPr>
        <w:shd w:val="clear" w:color="auto" w:fill="FFFFFF"/>
        <w:spacing w:after="240" w:line="360" w:lineRule="atLeast"/>
        <w:rPr>
          <w:color w:val="333333"/>
        </w:rPr>
      </w:pPr>
      <w:r w:rsidRPr="003B0002">
        <w:rPr>
          <w:color w:val="333333"/>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C1D8F25" w14:textId="77777777" w:rsidR="003B0002" w:rsidRPr="003B0002" w:rsidRDefault="003B0002" w:rsidP="003B0002">
      <w:pPr>
        <w:shd w:val="clear" w:color="auto" w:fill="FFFFFF"/>
        <w:spacing w:after="240" w:line="360" w:lineRule="atLeast"/>
        <w:rPr>
          <w:color w:val="333333"/>
        </w:rPr>
      </w:pPr>
      <w:r w:rsidRPr="003B0002">
        <w:rPr>
          <w:color w:val="333333"/>
        </w:rPr>
        <w:t xml:space="preserve">To file a program complaint of discrimination, complete the </w:t>
      </w:r>
      <w:r w:rsidRPr="003B0002">
        <w:rPr>
          <w:color w:val="333333"/>
          <w:highlight w:val="yellow"/>
        </w:rPr>
        <w:t>USDA Program Discrimination Complaint Form</w:t>
      </w:r>
      <w:r w:rsidRPr="003B0002">
        <w:rPr>
          <w:color w:val="333333"/>
        </w:rPr>
        <w:t xml:space="preserve">, (AD-3027), found online at </w:t>
      </w:r>
      <w:hyperlink r:id="rId17" w:history="1">
        <w:r w:rsidRPr="003B0002">
          <w:rPr>
            <w:rStyle w:val="Hyperlink"/>
          </w:rPr>
          <w:t>How to File A Complaint</w:t>
        </w:r>
      </w:hyperlink>
      <w:r w:rsidRPr="003B0002">
        <w:rPr>
          <w:color w:val="333333"/>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350943E7" w14:textId="77777777" w:rsidR="003B0002" w:rsidRPr="003B0002" w:rsidRDefault="003B0002" w:rsidP="003B0002">
      <w:pPr>
        <w:numPr>
          <w:ilvl w:val="0"/>
          <w:numId w:val="36"/>
        </w:numPr>
        <w:shd w:val="clear" w:color="auto" w:fill="FFFFFF"/>
        <w:spacing w:before="240" w:after="240" w:line="360" w:lineRule="atLeast"/>
        <w:ind w:left="0"/>
        <w:rPr>
          <w:color w:val="333333"/>
        </w:rPr>
      </w:pPr>
      <w:r w:rsidRPr="003B0002">
        <w:rPr>
          <w:color w:val="333333"/>
        </w:rPr>
        <w:t>mail: U.S. Department of Agriculture</w:t>
      </w:r>
      <w:r w:rsidRPr="003B0002">
        <w:rPr>
          <w:color w:val="333333"/>
        </w:rPr>
        <w:br/>
        <w:t>Office of the Assistant Secretary for Civil Rights</w:t>
      </w:r>
      <w:r w:rsidRPr="003B0002">
        <w:rPr>
          <w:color w:val="333333"/>
        </w:rPr>
        <w:br/>
        <w:t>1400 Independence Avenue, SW</w:t>
      </w:r>
      <w:r w:rsidRPr="003B0002">
        <w:rPr>
          <w:color w:val="333333"/>
        </w:rPr>
        <w:br/>
        <w:t xml:space="preserve">Washington, D.C. </w:t>
      </w:r>
      <w:proofErr w:type="gramStart"/>
      <w:r w:rsidRPr="003B0002">
        <w:rPr>
          <w:color w:val="333333"/>
        </w:rPr>
        <w:t>20250-9410;</w:t>
      </w:r>
      <w:proofErr w:type="gramEnd"/>
    </w:p>
    <w:p w14:paraId="3F7EB701" w14:textId="77777777" w:rsidR="003B0002" w:rsidRPr="003B0002" w:rsidRDefault="003B0002" w:rsidP="003B0002">
      <w:pPr>
        <w:numPr>
          <w:ilvl w:val="0"/>
          <w:numId w:val="36"/>
        </w:numPr>
        <w:shd w:val="clear" w:color="auto" w:fill="FFFFFF"/>
        <w:spacing w:before="240" w:after="240" w:line="360" w:lineRule="atLeast"/>
        <w:ind w:left="0"/>
        <w:rPr>
          <w:color w:val="333333"/>
        </w:rPr>
      </w:pPr>
      <w:r w:rsidRPr="003B0002">
        <w:rPr>
          <w:color w:val="333333"/>
        </w:rPr>
        <w:t>fax: (202) 690-7442; or</w:t>
      </w:r>
    </w:p>
    <w:p w14:paraId="7B3F8324" w14:textId="77777777" w:rsidR="003B0002" w:rsidRPr="003B0002" w:rsidRDefault="003B0002" w:rsidP="003B0002">
      <w:pPr>
        <w:numPr>
          <w:ilvl w:val="0"/>
          <w:numId w:val="36"/>
        </w:numPr>
        <w:shd w:val="clear" w:color="auto" w:fill="FFFFFF"/>
        <w:spacing w:before="240" w:after="240" w:line="360" w:lineRule="atLeast"/>
        <w:ind w:left="0"/>
        <w:rPr>
          <w:color w:val="333333"/>
        </w:rPr>
      </w:pPr>
      <w:r w:rsidRPr="003B0002">
        <w:rPr>
          <w:color w:val="333333"/>
        </w:rPr>
        <w:t>email: </w:t>
      </w:r>
      <w:hyperlink r:id="rId18" w:history="1">
        <w:r w:rsidRPr="003B0002">
          <w:rPr>
            <w:rStyle w:val="Hyperlink"/>
            <w:color w:val="683286"/>
          </w:rPr>
          <w:t>program.intake@usda.gov</w:t>
        </w:r>
      </w:hyperlink>
      <w:r w:rsidRPr="003B0002">
        <w:rPr>
          <w:color w:val="333333"/>
        </w:rPr>
        <w:t>.</w:t>
      </w:r>
    </w:p>
    <w:p w14:paraId="2D42FA13" w14:textId="16B5EC37" w:rsidR="00781CCF" w:rsidRPr="003B0002" w:rsidRDefault="003B0002" w:rsidP="003B0002">
      <w:pPr>
        <w:shd w:val="clear" w:color="auto" w:fill="FFFFFF"/>
        <w:spacing w:after="240" w:line="360" w:lineRule="atLeast"/>
        <w:rPr>
          <w:color w:val="333333"/>
        </w:rPr>
      </w:pPr>
      <w:r w:rsidRPr="003B0002">
        <w:rPr>
          <w:color w:val="333333"/>
        </w:rPr>
        <w:t>This institution is an equal opportunity provider.</w:t>
      </w:r>
    </w:p>
    <w:sectPr w:rsidR="00781CCF" w:rsidRPr="003B0002" w:rsidSect="00B66234">
      <w:footerReference w:type="default" r:id="rId19"/>
      <w:headerReference w:type="first" r:id="rId20"/>
      <w:footerReference w:type="first" r:id="rId21"/>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4B233" w14:textId="77777777" w:rsidR="00B54BD0" w:rsidRDefault="00B54BD0" w:rsidP="004062C7">
      <w:r>
        <w:separator/>
      </w:r>
    </w:p>
  </w:endnote>
  <w:endnote w:type="continuationSeparator" w:id="0">
    <w:p w14:paraId="006A5F45" w14:textId="77777777" w:rsidR="00B54BD0" w:rsidRDefault="00B54BD0" w:rsidP="004062C7">
      <w:r>
        <w:continuationSeparator/>
      </w:r>
    </w:p>
  </w:endnote>
  <w:endnote w:type="continuationNotice" w:id="1">
    <w:p w14:paraId="1C028F65" w14:textId="77777777" w:rsidR="00B54BD0" w:rsidRDefault="00B54B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6"/>
      <w:gridCol w:w="1583"/>
      <w:gridCol w:w="3651"/>
    </w:tblGrid>
    <w:tr w:rsidR="00796D5F" w14:paraId="0114C2F4" w14:textId="77777777" w:rsidTr="00774ECD">
      <w:trPr>
        <w:cantSplit/>
        <w:trHeight w:val="633"/>
        <w:tblHeader/>
      </w:trPr>
      <w:tc>
        <w:tcPr>
          <w:tcW w:w="4248" w:type="dxa"/>
        </w:tcPr>
        <w:p w14:paraId="2A85F7E8" w14:textId="11ABA698" w:rsidR="00796D5F" w:rsidRPr="00937FFC" w:rsidRDefault="009D12CE" w:rsidP="004460D4">
          <w:pPr>
            <w:pStyle w:val="Footer"/>
          </w:pPr>
          <w:r>
            <w:t>CACFP Desk Audit Guidance</w:t>
          </w:r>
          <w:r w:rsidR="00796D5F" w:rsidRPr="00937FFC">
            <w:br/>
            <w:t xml:space="preserve">(Revised: </w:t>
          </w:r>
          <w:r w:rsidR="00874E3B">
            <w:t>April 5, 2021</w:t>
          </w:r>
          <w:r w:rsidR="00796D5F" w:rsidRPr="00937FFC">
            <w:t>)</w:t>
          </w:r>
        </w:p>
      </w:tc>
      <w:tc>
        <w:tcPr>
          <w:tcW w:w="1620" w:type="dxa"/>
        </w:tcPr>
        <w:p w14:paraId="70844629"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D848CA8" w14:textId="77777777" w:rsidR="00796D5F" w:rsidRPr="00937FFC" w:rsidRDefault="00796D5F" w:rsidP="00961CDA">
          <w:pPr>
            <w:pStyle w:val="Footer"/>
            <w:jc w:val="right"/>
            <w:rPr>
              <w:szCs w:val="18"/>
            </w:rPr>
          </w:pPr>
          <w:r w:rsidRPr="00937FFC">
            <w:rPr>
              <w:noProof/>
            </w:rPr>
            <w:drawing>
              <wp:inline distT="0" distB="0" distL="0" distR="0" wp14:anchorId="07DFB862" wp14:editId="68DC083F">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7998" w14:textId="77777777" w:rsidR="00B66234" w:rsidRDefault="00B66234" w:rsidP="00B66234">
    <w:pPr>
      <w:pStyle w:val="Heading1"/>
    </w:pPr>
    <w:r>
      <w:t>Contact Information:</w:t>
    </w:r>
    <w:r w:rsidR="001D11ED">
      <w:t xml:space="preserve"> </w:t>
    </w:r>
  </w:p>
  <w:p w14:paraId="03A48068" w14:textId="77777777" w:rsidR="00B66234" w:rsidRDefault="00B66234" w:rsidP="00B66234">
    <w:r>
      <w:t xml:space="preserve">If you have questions about this document or would like additional </w:t>
    </w:r>
    <w:proofErr w:type="gramStart"/>
    <w:r>
      <w:t>information</w:t>
    </w:r>
    <w:proofErr w:type="gramEnd"/>
    <w:r>
      <w:t xml:space="preserve"> please contact:</w:t>
    </w:r>
  </w:p>
  <w:p w14:paraId="58DED47F" w14:textId="3E4DED71" w:rsidR="00B66234" w:rsidRPr="00B66234" w:rsidRDefault="00444CBE" w:rsidP="00B66234">
    <w:r>
      <w:t xml:space="preserve">Rebecca Cochran, Child Nutrition, at </w:t>
    </w:r>
    <w:hyperlink r:id="rId1" w:history="1">
      <w:r w:rsidRPr="00F20242">
        <w:rPr>
          <w:rStyle w:val="Hyperlink"/>
          <w:rFonts w:cs="Calibri"/>
        </w:rPr>
        <w:t>Rebecca.Cochran@vermont.gov</w:t>
      </w:r>
    </w:hyperlink>
    <w:r>
      <w:t xml:space="preserve"> or 802-828-1610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93C8E" w14:textId="77777777" w:rsidR="00B54BD0" w:rsidRDefault="00B54BD0" w:rsidP="004062C7">
      <w:r>
        <w:separator/>
      </w:r>
    </w:p>
  </w:footnote>
  <w:footnote w:type="continuationSeparator" w:id="0">
    <w:p w14:paraId="2E7D12A3" w14:textId="77777777" w:rsidR="00B54BD0" w:rsidRDefault="00B54BD0" w:rsidP="004062C7">
      <w:r>
        <w:continuationSeparator/>
      </w:r>
    </w:p>
  </w:footnote>
  <w:footnote w:type="continuationNotice" w:id="1">
    <w:p w14:paraId="404589F0" w14:textId="77777777" w:rsidR="00B54BD0" w:rsidRDefault="00B54BD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FA04BA">
      <w:tc>
        <w:tcPr>
          <w:tcW w:w="4320" w:type="dxa"/>
        </w:tcPr>
        <w:p w14:paraId="711CE569" w14:textId="77777777" w:rsidR="00B20740" w:rsidRDefault="00B20740" w:rsidP="00B20740">
          <w:pPr>
            <w:pStyle w:val="AOE-Header"/>
            <w:spacing w:before="0" w:after="0"/>
            <w:jc w:val="left"/>
            <w:rPr>
              <w:sz w:val="20"/>
              <w:szCs w:val="20"/>
            </w:rPr>
          </w:pPr>
          <w:bookmarkStart w:id="0" w:name="_Hlk24543830"/>
          <w:bookmarkStart w:id="1" w:name="_Hlk24543831"/>
          <w:bookmarkStart w:id="2" w:name="_Hlk24543978"/>
          <w:bookmarkStart w:id="3" w:name="_Hlk24543979"/>
          <w:r w:rsidRPr="00147A67">
            <w:rPr>
              <w:sz w:val="20"/>
              <w:szCs w:val="20"/>
            </w:rPr>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4"/>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0"/>
    <w:bookmarkEnd w:id="1"/>
    <w:bookmarkEnd w:id="2"/>
    <w:bookmarkEnd w:id="3"/>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14CF8"/>
    <w:multiLevelType w:val="hybridMultilevel"/>
    <w:tmpl w:val="78C0BCB8"/>
    <w:lvl w:ilvl="0" w:tplc="27869510">
      <w:start w:val="6"/>
      <w:numFmt w:val="decimal"/>
      <w:lvlText w:val="%1."/>
      <w:lvlJc w:val="left"/>
      <w:pPr>
        <w:ind w:left="720" w:hanging="360"/>
      </w:pPr>
      <w:rPr>
        <w:rFonts w:ascii="Palatino Linotype" w:hAnsi="Palatino Linotype"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34D51"/>
    <w:multiLevelType w:val="hybridMultilevel"/>
    <w:tmpl w:val="CACC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A63AC"/>
    <w:multiLevelType w:val="hybridMultilevel"/>
    <w:tmpl w:val="10364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B3639D"/>
    <w:multiLevelType w:val="multilevel"/>
    <w:tmpl w:val="BA387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3" w15:restartNumberingAfterBreak="0">
    <w:nsid w:val="4B472568"/>
    <w:multiLevelType w:val="hybridMultilevel"/>
    <w:tmpl w:val="973A0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663238B"/>
    <w:multiLevelType w:val="hybridMultilevel"/>
    <w:tmpl w:val="8A0E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2"/>
  </w:num>
  <w:num w:numId="2">
    <w:abstractNumId w:val="15"/>
  </w:num>
  <w:num w:numId="3">
    <w:abstractNumId w:val="29"/>
  </w:num>
  <w:num w:numId="4">
    <w:abstractNumId w:val="24"/>
  </w:num>
  <w:num w:numId="5">
    <w:abstractNumId w:val="25"/>
  </w:num>
  <w:num w:numId="6">
    <w:abstractNumId w:val="6"/>
  </w:num>
  <w:num w:numId="7">
    <w:abstractNumId w:val="1"/>
  </w:num>
  <w:num w:numId="8">
    <w:abstractNumId w:val="16"/>
  </w:num>
  <w:num w:numId="9">
    <w:abstractNumId w:val="22"/>
  </w:num>
  <w:num w:numId="10">
    <w:abstractNumId w:val="33"/>
  </w:num>
  <w:num w:numId="11">
    <w:abstractNumId w:val="18"/>
  </w:num>
  <w:num w:numId="12">
    <w:abstractNumId w:val="10"/>
  </w:num>
  <w:num w:numId="13">
    <w:abstractNumId w:val="35"/>
  </w:num>
  <w:num w:numId="14">
    <w:abstractNumId w:val="11"/>
  </w:num>
  <w:num w:numId="15">
    <w:abstractNumId w:val="34"/>
  </w:num>
  <w:num w:numId="16">
    <w:abstractNumId w:val="5"/>
  </w:num>
  <w:num w:numId="17">
    <w:abstractNumId w:val="8"/>
  </w:num>
  <w:num w:numId="18">
    <w:abstractNumId w:val="19"/>
  </w:num>
  <w:num w:numId="19">
    <w:abstractNumId w:val="26"/>
  </w:num>
  <w:num w:numId="20">
    <w:abstractNumId w:val="13"/>
  </w:num>
  <w:num w:numId="21">
    <w:abstractNumId w:val="14"/>
  </w:num>
  <w:num w:numId="22">
    <w:abstractNumId w:val="12"/>
  </w:num>
  <w:num w:numId="23">
    <w:abstractNumId w:val="2"/>
  </w:num>
  <w:num w:numId="24">
    <w:abstractNumId w:val="31"/>
  </w:num>
  <w:num w:numId="25">
    <w:abstractNumId w:val="2"/>
  </w:num>
  <w:num w:numId="26">
    <w:abstractNumId w:val="4"/>
  </w:num>
  <w:num w:numId="27">
    <w:abstractNumId w:val="27"/>
  </w:num>
  <w:num w:numId="28">
    <w:abstractNumId w:val="28"/>
  </w:num>
  <w:num w:numId="29">
    <w:abstractNumId w:val="17"/>
  </w:num>
  <w:num w:numId="30">
    <w:abstractNumId w:val="9"/>
  </w:num>
  <w:num w:numId="31">
    <w:abstractNumId w:val="0"/>
  </w:num>
  <w:num w:numId="3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0"/>
  </w:num>
  <w:num w:numId="35">
    <w:abstractNumId w:val="7"/>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11117"/>
    <w:rsid w:val="00030823"/>
    <w:rsid w:val="000310B4"/>
    <w:rsid w:val="000321FC"/>
    <w:rsid w:val="00042FE5"/>
    <w:rsid w:val="000478B7"/>
    <w:rsid w:val="00050326"/>
    <w:rsid w:val="00050A15"/>
    <w:rsid w:val="00062DFA"/>
    <w:rsid w:val="0007417E"/>
    <w:rsid w:val="000806B4"/>
    <w:rsid w:val="0008301F"/>
    <w:rsid w:val="0008376C"/>
    <w:rsid w:val="000978C9"/>
    <w:rsid w:val="000B3621"/>
    <w:rsid w:val="000C0303"/>
    <w:rsid w:val="000D049C"/>
    <w:rsid w:val="000F3A23"/>
    <w:rsid w:val="000F7F54"/>
    <w:rsid w:val="00102EA8"/>
    <w:rsid w:val="00104EFB"/>
    <w:rsid w:val="001128EA"/>
    <w:rsid w:val="00127FE4"/>
    <w:rsid w:val="00147A67"/>
    <w:rsid w:val="00161F11"/>
    <w:rsid w:val="001645D6"/>
    <w:rsid w:val="0017612B"/>
    <w:rsid w:val="0019575B"/>
    <w:rsid w:val="001A1F97"/>
    <w:rsid w:val="001B4DB3"/>
    <w:rsid w:val="001B5431"/>
    <w:rsid w:val="001C1F88"/>
    <w:rsid w:val="001C25E3"/>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600A"/>
    <w:rsid w:val="0024786D"/>
    <w:rsid w:val="00256309"/>
    <w:rsid w:val="002768DB"/>
    <w:rsid w:val="002768E8"/>
    <w:rsid w:val="00277BD5"/>
    <w:rsid w:val="0028626E"/>
    <w:rsid w:val="002A0C9D"/>
    <w:rsid w:val="002C2B80"/>
    <w:rsid w:val="002C2D1A"/>
    <w:rsid w:val="002C3428"/>
    <w:rsid w:val="002D0283"/>
    <w:rsid w:val="002D6A73"/>
    <w:rsid w:val="002D7238"/>
    <w:rsid w:val="002E0106"/>
    <w:rsid w:val="002E3710"/>
    <w:rsid w:val="002E7E11"/>
    <w:rsid w:val="002F7E75"/>
    <w:rsid w:val="00302C74"/>
    <w:rsid w:val="00314055"/>
    <w:rsid w:val="003201A8"/>
    <w:rsid w:val="00321D6C"/>
    <w:rsid w:val="00325E78"/>
    <w:rsid w:val="00326074"/>
    <w:rsid w:val="003274F5"/>
    <w:rsid w:val="003275FD"/>
    <w:rsid w:val="00332368"/>
    <w:rsid w:val="00334D48"/>
    <w:rsid w:val="00340C04"/>
    <w:rsid w:val="00344A85"/>
    <w:rsid w:val="00345106"/>
    <w:rsid w:val="003566ED"/>
    <w:rsid w:val="00367AFF"/>
    <w:rsid w:val="003807B6"/>
    <w:rsid w:val="00383381"/>
    <w:rsid w:val="003834FF"/>
    <w:rsid w:val="003977EC"/>
    <w:rsid w:val="003B0002"/>
    <w:rsid w:val="003B1BCA"/>
    <w:rsid w:val="003B3301"/>
    <w:rsid w:val="003B7F81"/>
    <w:rsid w:val="003D0155"/>
    <w:rsid w:val="003D090F"/>
    <w:rsid w:val="003D3CA9"/>
    <w:rsid w:val="003E736C"/>
    <w:rsid w:val="004062C7"/>
    <w:rsid w:val="00410700"/>
    <w:rsid w:val="0044264D"/>
    <w:rsid w:val="00442899"/>
    <w:rsid w:val="00444A7A"/>
    <w:rsid w:val="00444CBE"/>
    <w:rsid w:val="004460D4"/>
    <w:rsid w:val="004739FF"/>
    <w:rsid w:val="00482B0C"/>
    <w:rsid w:val="00484A92"/>
    <w:rsid w:val="00490247"/>
    <w:rsid w:val="004916FF"/>
    <w:rsid w:val="004A0AAE"/>
    <w:rsid w:val="004A7AD0"/>
    <w:rsid w:val="004B7F41"/>
    <w:rsid w:val="004C627F"/>
    <w:rsid w:val="004C64DC"/>
    <w:rsid w:val="004D1880"/>
    <w:rsid w:val="004E0D87"/>
    <w:rsid w:val="00500232"/>
    <w:rsid w:val="00505A69"/>
    <w:rsid w:val="00515349"/>
    <w:rsid w:val="005204DB"/>
    <w:rsid w:val="00536AA0"/>
    <w:rsid w:val="005464E9"/>
    <w:rsid w:val="00554C87"/>
    <w:rsid w:val="00566B8A"/>
    <w:rsid w:val="0056727F"/>
    <w:rsid w:val="00575711"/>
    <w:rsid w:val="00580AF5"/>
    <w:rsid w:val="0059538A"/>
    <w:rsid w:val="00595F2B"/>
    <w:rsid w:val="005A2F07"/>
    <w:rsid w:val="005B5528"/>
    <w:rsid w:val="005B61CD"/>
    <w:rsid w:val="005B76E6"/>
    <w:rsid w:val="005C0FB7"/>
    <w:rsid w:val="005D1034"/>
    <w:rsid w:val="005D1A81"/>
    <w:rsid w:val="005D7389"/>
    <w:rsid w:val="005D7ABB"/>
    <w:rsid w:val="005F4613"/>
    <w:rsid w:val="006055C1"/>
    <w:rsid w:val="006062D9"/>
    <w:rsid w:val="0062055D"/>
    <w:rsid w:val="00626212"/>
    <w:rsid w:val="0063049A"/>
    <w:rsid w:val="00650C24"/>
    <w:rsid w:val="00651E8D"/>
    <w:rsid w:val="00660C2F"/>
    <w:rsid w:val="00665A6F"/>
    <w:rsid w:val="006703F6"/>
    <w:rsid w:val="00683AD3"/>
    <w:rsid w:val="0069467C"/>
    <w:rsid w:val="006B791C"/>
    <w:rsid w:val="006C29AA"/>
    <w:rsid w:val="006C7017"/>
    <w:rsid w:val="006D5068"/>
    <w:rsid w:val="006F5080"/>
    <w:rsid w:val="006F698F"/>
    <w:rsid w:val="00706ACA"/>
    <w:rsid w:val="00710FE3"/>
    <w:rsid w:val="00721DF9"/>
    <w:rsid w:val="00723F64"/>
    <w:rsid w:val="007245BF"/>
    <w:rsid w:val="00734368"/>
    <w:rsid w:val="007362D8"/>
    <w:rsid w:val="00746838"/>
    <w:rsid w:val="0077034A"/>
    <w:rsid w:val="0077122C"/>
    <w:rsid w:val="00774ECD"/>
    <w:rsid w:val="00781CCF"/>
    <w:rsid w:val="0078546B"/>
    <w:rsid w:val="007869F0"/>
    <w:rsid w:val="007914E1"/>
    <w:rsid w:val="007963EC"/>
    <w:rsid w:val="00796D5F"/>
    <w:rsid w:val="007A4182"/>
    <w:rsid w:val="007A48A9"/>
    <w:rsid w:val="007A4CC4"/>
    <w:rsid w:val="007B28E4"/>
    <w:rsid w:val="007B36C1"/>
    <w:rsid w:val="007D17B1"/>
    <w:rsid w:val="007D5E67"/>
    <w:rsid w:val="007E3BD6"/>
    <w:rsid w:val="007E7218"/>
    <w:rsid w:val="007E75DB"/>
    <w:rsid w:val="008026C4"/>
    <w:rsid w:val="00804ED3"/>
    <w:rsid w:val="00815A05"/>
    <w:rsid w:val="00820288"/>
    <w:rsid w:val="00820A7D"/>
    <w:rsid w:val="0082162E"/>
    <w:rsid w:val="00826203"/>
    <w:rsid w:val="008533A2"/>
    <w:rsid w:val="00865A62"/>
    <w:rsid w:val="00874E3B"/>
    <w:rsid w:val="0087647A"/>
    <w:rsid w:val="00885DF7"/>
    <w:rsid w:val="008A0832"/>
    <w:rsid w:val="008C332D"/>
    <w:rsid w:val="008E08DC"/>
    <w:rsid w:val="008F27B0"/>
    <w:rsid w:val="008F6F90"/>
    <w:rsid w:val="00916829"/>
    <w:rsid w:val="0092656D"/>
    <w:rsid w:val="00937F53"/>
    <w:rsid w:val="00937FFC"/>
    <w:rsid w:val="0094350D"/>
    <w:rsid w:val="00961A6D"/>
    <w:rsid w:val="00961CDA"/>
    <w:rsid w:val="00975E44"/>
    <w:rsid w:val="009767A8"/>
    <w:rsid w:val="0098014B"/>
    <w:rsid w:val="00996818"/>
    <w:rsid w:val="009A0DF6"/>
    <w:rsid w:val="009A4BD4"/>
    <w:rsid w:val="009C410C"/>
    <w:rsid w:val="009D12CE"/>
    <w:rsid w:val="009D24B2"/>
    <w:rsid w:val="009D3165"/>
    <w:rsid w:val="009D34F3"/>
    <w:rsid w:val="009D4528"/>
    <w:rsid w:val="00A1111B"/>
    <w:rsid w:val="00A1547A"/>
    <w:rsid w:val="00A211A8"/>
    <w:rsid w:val="00A22D22"/>
    <w:rsid w:val="00A2444F"/>
    <w:rsid w:val="00A24AEB"/>
    <w:rsid w:val="00A431E3"/>
    <w:rsid w:val="00A513A7"/>
    <w:rsid w:val="00A67F96"/>
    <w:rsid w:val="00A7528E"/>
    <w:rsid w:val="00A92164"/>
    <w:rsid w:val="00A9790E"/>
    <w:rsid w:val="00AA0207"/>
    <w:rsid w:val="00AB426A"/>
    <w:rsid w:val="00AC7241"/>
    <w:rsid w:val="00AD1A62"/>
    <w:rsid w:val="00AD4B66"/>
    <w:rsid w:val="00AF33BA"/>
    <w:rsid w:val="00AF600F"/>
    <w:rsid w:val="00AF602B"/>
    <w:rsid w:val="00B03DC1"/>
    <w:rsid w:val="00B04C63"/>
    <w:rsid w:val="00B114D1"/>
    <w:rsid w:val="00B20740"/>
    <w:rsid w:val="00B25D38"/>
    <w:rsid w:val="00B25DEC"/>
    <w:rsid w:val="00B46917"/>
    <w:rsid w:val="00B540C0"/>
    <w:rsid w:val="00B54BD0"/>
    <w:rsid w:val="00B6001B"/>
    <w:rsid w:val="00B66234"/>
    <w:rsid w:val="00B679AF"/>
    <w:rsid w:val="00B94EA4"/>
    <w:rsid w:val="00BA3B50"/>
    <w:rsid w:val="00BB3DB6"/>
    <w:rsid w:val="00BC6DE3"/>
    <w:rsid w:val="00BD7ABE"/>
    <w:rsid w:val="00BE3F84"/>
    <w:rsid w:val="00BE43B0"/>
    <w:rsid w:val="00C01AD7"/>
    <w:rsid w:val="00C109A3"/>
    <w:rsid w:val="00C13786"/>
    <w:rsid w:val="00C15DD9"/>
    <w:rsid w:val="00C33882"/>
    <w:rsid w:val="00C45437"/>
    <w:rsid w:val="00C712A7"/>
    <w:rsid w:val="00C97C17"/>
    <w:rsid w:val="00CA71B2"/>
    <w:rsid w:val="00CB29BB"/>
    <w:rsid w:val="00CC230C"/>
    <w:rsid w:val="00CD21BC"/>
    <w:rsid w:val="00CF4EFE"/>
    <w:rsid w:val="00D04EC2"/>
    <w:rsid w:val="00D064CA"/>
    <w:rsid w:val="00D07AE7"/>
    <w:rsid w:val="00D12391"/>
    <w:rsid w:val="00D22EA0"/>
    <w:rsid w:val="00D33781"/>
    <w:rsid w:val="00D33F20"/>
    <w:rsid w:val="00D41020"/>
    <w:rsid w:val="00D65661"/>
    <w:rsid w:val="00D72AAF"/>
    <w:rsid w:val="00D839AF"/>
    <w:rsid w:val="00D85D7F"/>
    <w:rsid w:val="00D869C1"/>
    <w:rsid w:val="00D96748"/>
    <w:rsid w:val="00DA43AE"/>
    <w:rsid w:val="00DC17CA"/>
    <w:rsid w:val="00DC3C47"/>
    <w:rsid w:val="00DE7FA2"/>
    <w:rsid w:val="00DF7A10"/>
    <w:rsid w:val="00E01397"/>
    <w:rsid w:val="00E2171D"/>
    <w:rsid w:val="00E30534"/>
    <w:rsid w:val="00E52B4F"/>
    <w:rsid w:val="00E606BA"/>
    <w:rsid w:val="00E773E9"/>
    <w:rsid w:val="00E8314C"/>
    <w:rsid w:val="00E87FCE"/>
    <w:rsid w:val="00E9189B"/>
    <w:rsid w:val="00EB3C9A"/>
    <w:rsid w:val="00ED3A89"/>
    <w:rsid w:val="00ED49D5"/>
    <w:rsid w:val="00EE2498"/>
    <w:rsid w:val="00F00B91"/>
    <w:rsid w:val="00F13432"/>
    <w:rsid w:val="00F234A0"/>
    <w:rsid w:val="00F41E27"/>
    <w:rsid w:val="00F65CB1"/>
    <w:rsid w:val="00F661E5"/>
    <w:rsid w:val="00F76AD8"/>
    <w:rsid w:val="00F82341"/>
    <w:rsid w:val="00F90A87"/>
    <w:rsid w:val="00F93DD7"/>
    <w:rsid w:val="00FA084B"/>
    <w:rsid w:val="00FA281D"/>
    <w:rsid w:val="00FA47FB"/>
    <w:rsid w:val="00FC2AAF"/>
    <w:rsid w:val="00FD16CE"/>
    <w:rsid w:val="00FE2356"/>
    <w:rsid w:val="00FF3CC2"/>
    <w:rsid w:val="00FF3E18"/>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350C0"/>
  <w15:docId w15:val="{10BE7B90-1E82-4BFD-B9A7-8F23873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665A6F"/>
    <w:rPr>
      <w:sz w:val="16"/>
      <w:szCs w:val="16"/>
    </w:rPr>
  </w:style>
  <w:style w:type="paragraph" w:styleId="CommentText">
    <w:name w:val="annotation text"/>
    <w:basedOn w:val="Normal"/>
    <w:link w:val="CommentTextChar"/>
    <w:uiPriority w:val="99"/>
    <w:semiHidden/>
    <w:unhideWhenUsed/>
    <w:rsid w:val="00665A6F"/>
    <w:pPr>
      <w:spacing w:line="240" w:lineRule="auto"/>
    </w:pPr>
    <w:rPr>
      <w:sz w:val="20"/>
      <w:szCs w:val="20"/>
    </w:rPr>
  </w:style>
  <w:style w:type="character" w:customStyle="1" w:styleId="CommentTextChar">
    <w:name w:val="Comment Text Char"/>
    <w:basedOn w:val="DefaultParagraphFont"/>
    <w:link w:val="CommentText"/>
    <w:uiPriority w:val="99"/>
    <w:semiHidden/>
    <w:rsid w:val="00665A6F"/>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665A6F"/>
    <w:rPr>
      <w:b/>
    </w:rPr>
  </w:style>
  <w:style w:type="character" w:customStyle="1" w:styleId="CommentSubjectChar">
    <w:name w:val="Comment Subject Char"/>
    <w:basedOn w:val="CommentTextChar"/>
    <w:link w:val="CommentSubject"/>
    <w:uiPriority w:val="99"/>
    <w:semiHidden/>
    <w:rsid w:val="00665A6F"/>
    <w:rPr>
      <w:rFonts w:ascii="Palatino Linotype" w:eastAsia="Times New Roman" w:hAnsi="Palatino Linotype"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521363808">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976690776">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140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documents/edu-nutrition-planned-monitoring-schedule" TargetMode="External"/><Relationship Id="rId18" Type="http://schemas.openxmlformats.org/officeDocument/2006/relationships/hyperlink" Target="mailto:program.intake@usda.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ducation.vermont.gov/student-support/nutrition/child-and-adult-care-food" TargetMode="External"/><Relationship Id="rId17" Type="http://schemas.openxmlformats.org/officeDocument/2006/relationships/hyperlink" Target="https://www.usda.gov/oascr/how-to-file-a-program-discrimination-complaint" TargetMode="External"/><Relationship Id="rId2" Type="http://schemas.openxmlformats.org/officeDocument/2006/relationships/customXml" Target="../customXml/item2.xml"/><Relationship Id="rId16" Type="http://schemas.openxmlformats.org/officeDocument/2006/relationships/hyperlink" Target="https://education.vermont.gov/documents/nutrition-cacfp-training-certifi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ns-prod.azureedge.net/sites/default/files/resource-files/COVID19%20Onsite%20Monitoring%20Nationwide%20Waiver%20CACFP%20Sponsors.pdf" TargetMode="External"/><Relationship Id="rId5" Type="http://schemas.openxmlformats.org/officeDocument/2006/relationships/numbering" Target="numbering.xml"/><Relationship Id="rId15" Type="http://schemas.openxmlformats.org/officeDocument/2006/relationships/hyperlink" Target="https://education.vermont.gov/documents/nutrition-cacfp-site-review-for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vermont.gov/documents/edu-nutrition-monitoring-review-lo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Rebecca.Cochran@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e9704c02-dfb4-43e9-baff-18004c96e1cb"/>
    <ds:schemaRef ds:uri="http://schemas.microsoft.com/sharepoint/v3"/>
  </ds:schemaRefs>
</ds:datastoreItem>
</file>

<file path=customXml/itemProps3.xml><?xml version="1.0" encoding="utf-8"?>
<ds:datastoreItem xmlns:ds="http://schemas.openxmlformats.org/officeDocument/2006/customXml" ds:itemID="{FFF1966B-8AD5-4360-A690-D3E68B983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F1854-D456-4A3C-AAD3-8C9AB056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CACFP Desk Audit Guidance for Sponsoring Organizations for FY 19-20 and 20-21</vt:lpstr>
    </vt:vector>
  </TitlesOfParts>
  <Company>Vermont Agency of Education</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Desk Audit Guidance for Sponsoring Organizations for FY 19-20 and 20-21</dc:title>
  <dc:creator>Vermont Agency of Education</dc:creator>
  <cp:keywords/>
  <cp:lastModifiedBy>Cochran, Rebecca</cp:lastModifiedBy>
  <cp:revision>21</cp:revision>
  <cp:lastPrinted>2015-09-09T16:37:00Z</cp:lastPrinted>
  <dcterms:created xsi:type="dcterms:W3CDTF">2020-11-23T21:25:00Z</dcterms:created>
  <dcterms:modified xsi:type="dcterms:W3CDTF">2021-04-05T12:51:00Z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