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71DBA" w14:textId="1CE09511" w:rsidR="007C70E0" w:rsidRPr="005E0380" w:rsidRDefault="00D331F1" w:rsidP="005E0380">
      <w:pPr>
        <w:pStyle w:val="Title"/>
      </w:pPr>
      <w:r>
        <w:t xml:space="preserve">Form #10 - </w:t>
      </w:r>
      <w:r w:rsidR="007C70E0" w:rsidRPr="005E0380">
        <w:t>Parentally-Placed Students in Non-public Schools (including Home Study) and Proportionate S</w:t>
      </w:r>
      <w:r w:rsidR="005201DE">
        <w:t>h</w:t>
      </w:r>
      <w:r w:rsidR="007C70E0" w:rsidRPr="005E0380">
        <w:t>are Requirements</w:t>
      </w:r>
    </w:p>
    <w:p w14:paraId="6C97D7A8" w14:textId="7B03DBBD" w:rsidR="0070601B" w:rsidRPr="005E0380" w:rsidRDefault="0070601B" w:rsidP="005E0380">
      <w:r w:rsidRPr="005E0380">
        <w:t xml:space="preserve">The IDEA requires local education agencies (LEAs) to provide special education services to eligible students who are enrolled by their parents in non-profit non-public schools for the purpose of delivering an elementary and/or secondary education. Each LEA must use a proportionate share of their IDEA funds to provide special education services to non-profit non-public schools and home-schooled students with disabilities. For the purposes of proportionate share requirements, Vermont defines non-public school as: independent (secular, and non-secular) schools, as well as home study programs. </w:t>
      </w:r>
    </w:p>
    <w:p w14:paraId="5E11DC2B" w14:textId="77777777" w:rsidR="00542D77" w:rsidRPr="0070601B" w:rsidRDefault="00542D77" w:rsidP="005E0380"/>
    <w:p w14:paraId="18392AA4" w14:textId="3C6B5B0F" w:rsidR="0070601B" w:rsidRDefault="0070601B" w:rsidP="005E0380">
      <w:pPr>
        <w:ind w:left="720"/>
      </w:pPr>
      <w:r w:rsidRPr="00A2243D">
        <w:rPr>
          <w:b/>
          <w:i/>
          <w:iCs/>
        </w:rPr>
        <w:t>NOTE:</w:t>
      </w:r>
      <w:r w:rsidRPr="0070601B">
        <w:rPr>
          <w:b/>
        </w:rPr>
        <w:t xml:space="preserve"> </w:t>
      </w:r>
      <w:r w:rsidRPr="0070601B">
        <w:t>Proportionate share and equitable services requirement under IDEA in Vermont does not apply to students who “attend independent schools because the district does not operate a public school</w:t>
      </w:r>
      <w:r w:rsidR="0018154D">
        <w:t>.</w:t>
      </w:r>
      <w:r w:rsidRPr="0070601B">
        <w:t>” [</w:t>
      </w:r>
      <w:hyperlink r:id="rId11" w:anchor="page=158" w:history="1">
        <w:r w:rsidRPr="0070601B">
          <w:rPr>
            <w:color w:val="0000FF"/>
            <w:u w:val="single"/>
          </w:rPr>
          <w:t>SBE Rule 2368.1(b)</w:t>
        </w:r>
      </w:hyperlink>
      <w:r w:rsidRPr="0070601B">
        <w:t>]</w:t>
      </w:r>
    </w:p>
    <w:p w14:paraId="0C7FBF1A" w14:textId="77777777" w:rsidR="00542D77" w:rsidRPr="0070601B" w:rsidRDefault="00542D77" w:rsidP="005E0380">
      <w:pPr>
        <w:ind w:left="720"/>
      </w:pPr>
    </w:p>
    <w:p w14:paraId="64258A8D" w14:textId="1BD308BC" w:rsidR="0070601B" w:rsidRDefault="0070601B" w:rsidP="005E0380">
      <w:pPr>
        <w:ind w:left="720"/>
      </w:pPr>
      <w:r w:rsidRPr="0070601B">
        <w:t xml:space="preserve">For preschool-aged students (3-5), only those who attend a private preschool program meeting the definition of an elementary school under the law may be included. Because stand-alone private prekindergarten education programs and private childcare centers do not provide “elementary education” consistent with the federal definition of elementary schools, they are not included in the district’s proportionate share child count. </w:t>
      </w:r>
    </w:p>
    <w:p w14:paraId="0A02E84C" w14:textId="77777777" w:rsidR="00542D77" w:rsidRPr="0070601B" w:rsidRDefault="00542D77" w:rsidP="005E0380"/>
    <w:p w14:paraId="0F412D2D" w14:textId="4E29CED9" w:rsidR="0070601B" w:rsidRDefault="0070601B" w:rsidP="005E0380">
      <w:r w:rsidRPr="0070601B">
        <w:t>The IDEA proportionate share requirements are for students with disabilities who are parentally placed in non-profit non-public schools that serve the general population. This does not include students who have IEP placements, in non-public special education schools. The LEA’s responsibilities include Child Find, timely and meaningful consultation, and service provision to eligible non-profit non-public school and home study students</w:t>
      </w:r>
      <w:r w:rsidR="004F1159" w:rsidRPr="0070601B">
        <w:t xml:space="preserve">. </w:t>
      </w:r>
    </w:p>
    <w:p w14:paraId="1D9A19E3" w14:textId="77777777" w:rsidR="00542D77" w:rsidRPr="0070601B" w:rsidRDefault="00542D77" w:rsidP="0070601B">
      <w:pPr>
        <w:spacing w:before="0" w:after="0" w:line="240" w:lineRule="auto"/>
        <w:rPr>
          <w:rFonts w:cs="Times New Roman"/>
          <w:bCs w:val="0"/>
        </w:rPr>
      </w:pPr>
    </w:p>
    <w:p w14:paraId="13672F7E" w14:textId="77777777" w:rsidR="00542D77" w:rsidRPr="005E0380" w:rsidRDefault="0070601B" w:rsidP="005E0380">
      <w:r w:rsidRPr="005E0380">
        <w:t>IDEA requires each LEA that receives IDEA funds to spend a proportionate share of their federal IDEA dollars on equitable services for non-profit non-public school students. [</w:t>
      </w:r>
      <w:hyperlink r:id="rId12" w:anchor="sg34.2.300_1125_6300_1128.sg7">
        <w:r w:rsidRPr="005E0380">
          <w:rPr>
            <w:color w:val="0000FF"/>
            <w:u w:val="single"/>
          </w:rPr>
          <w:t>34 CFR §§300.129-300.144</w:t>
        </w:r>
      </w:hyperlink>
      <w:r w:rsidRPr="005E0380">
        <w:rPr>
          <w:color w:val="0070C0"/>
        </w:rPr>
        <w:t xml:space="preserve"> </w:t>
      </w:r>
      <w:r w:rsidRPr="005E0380">
        <w:t>and</w:t>
      </w:r>
      <w:r w:rsidRPr="005E0380">
        <w:rPr>
          <w:color w:val="0070C0"/>
        </w:rPr>
        <w:t xml:space="preserve"> </w:t>
      </w:r>
      <w:hyperlink r:id="rId13" w:anchor="ap34.2.300_1818.b">
        <w:r w:rsidRPr="005E0380">
          <w:rPr>
            <w:color w:val="0000FF"/>
            <w:u w:val="single"/>
          </w:rPr>
          <w:t>Appendix B of 34 CFR Part 300</w:t>
        </w:r>
      </w:hyperlink>
      <w:r w:rsidRPr="005E0380">
        <w:t>] and [</w:t>
      </w:r>
      <w:hyperlink r:id="rId14" w:anchor="page=163" w:history="1">
        <w:r w:rsidRPr="005E0380">
          <w:rPr>
            <w:color w:val="0000FF"/>
            <w:u w:val="single"/>
          </w:rPr>
          <w:t>SBE 2368.1.7</w:t>
        </w:r>
      </w:hyperlink>
      <w:r w:rsidRPr="005E0380">
        <w:t>]. Services to students, supplies, materials, and professional development for non-profit non-public school staff, in relation to the student services, are allowable. Special education and related services provided to parentally placed non-profit non-public school children with disabilities, including materials and equipment, must be secular, neutral, and nonideological. [</w:t>
      </w:r>
      <w:hyperlink r:id="rId15" w:anchor="se34.2.300_1138" w:history="1">
        <w:r w:rsidRPr="005E0380">
          <w:rPr>
            <w:color w:val="0000FF"/>
            <w:u w:val="single"/>
          </w:rPr>
          <w:t>34 CFR §300.138(c)</w:t>
        </w:r>
      </w:hyperlink>
      <w:r w:rsidRPr="005E0380">
        <w:t xml:space="preserve">] </w:t>
      </w:r>
    </w:p>
    <w:p w14:paraId="7E7C1CED" w14:textId="79955FD6" w:rsidR="0070601B" w:rsidRPr="0070601B" w:rsidRDefault="0070601B" w:rsidP="005E0380">
      <w:r w:rsidRPr="0070601B">
        <w:lastRenderedPageBreak/>
        <w:t xml:space="preserve">Administrative services and Child Find expenditures are not allowable as proportionate share expenditures. Each LEA has an obligation to locate, identify, and evaluate students with disabilities enrolled by their parents in non-public schools located within the LEA, and to calculate and spend a proportionate share of IDEA grant funds to provide equitable services for these students. </w:t>
      </w:r>
    </w:p>
    <w:p w14:paraId="0243592C" w14:textId="728A9F35" w:rsidR="0070601B" w:rsidRDefault="0070601B" w:rsidP="005E0380">
      <w:proofErr w:type="gramStart"/>
      <w:r w:rsidRPr="0070601B">
        <w:t>In order to</w:t>
      </w:r>
      <w:proofErr w:type="gramEnd"/>
      <w:r w:rsidRPr="0070601B">
        <w:t xml:space="preserve"> provide equitable services, each LEA must comply with the following procedures:</w:t>
      </w:r>
    </w:p>
    <w:p w14:paraId="7E0D6B55" w14:textId="77777777" w:rsidR="00162B7F" w:rsidRPr="0070601B" w:rsidRDefault="00162B7F" w:rsidP="0070601B">
      <w:pPr>
        <w:spacing w:before="0" w:after="0" w:line="240" w:lineRule="auto"/>
        <w:rPr>
          <w:rFonts w:cs="Times New Roman"/>
        </w:rPr>
      </w:pPr>
    </w:p>
    <w:p w14:paraId="78AAFFE3" w14:textId="77777777" w:rsidR="005E0380" w:rsidRDefault="0070601B" w:rsidP="0070601B">
      <w:pPr>
        <w:spacing w:before="0" w:after="0" w:line="240" w:lineRule="auto"/>
        <w:rPr>
          <w:rFonts w:cs="Times New Roman"/>
          <w:b/>
        </w:rPr>
      </w:pPr>
      <w:r w:rsidRPr="005E0380">
        <w:rPr>
          <w:rStyle w:val="Heading1Char"/>
        </w:rPr>
        <w:t>Timely and Meaningful Consultation</w:t>
      </w:r>
      <w:r w:rsidRPr="0070601B">
        <w:rPr>
          <w:rFonts w:cs="Times New Roman"/>
          <w:b/>
        </w:rPr>
        <w:t xml:space="preserve"> </w:t>
      </w:r>
    </w:p>
    <w:p w14:paraId="6CC0ADA5" w14:textId="6C6BA522" w:rsidR="0070601B" w:rsidRPr="0070601B" w:rsidRDefault="0070601B" w:rsidP="0070601B">
      <w:pPr>
        <w:spacing w:before="0" w:after="0" w:line="240" w:lineRule="auto"/>
        <w:rPr>
          <w:rFonts w:cs="Times New Roman"/>
          <w:bCs w:val="0"/>
        </w:rPr>
      </w:pPr>
      <w:r w:rsidRPr="0070601B">
        <w:rPr>
          <w:rFonts w:cs="Times New Roman"/>
          <w:bCs w:val="0"/>
        </w:rPr>
        <w:t>[</w:t>
      </w:r>
      <w:hyperlink r:id="rId16" w:anchor="se34.2.300_1134" w:history="1">
        <w:r w:rsidRPr="0070601B">
          <w:rPr>
            <w:rFonts w:cs="Times New Roman"/>
            <w:bCs w:val="0"/>
            <w:color w:val="0000FF"/>
            <w:u w:val="single"/>
          </w:rPr>
          <w:t>34 CFR §300.134</w:t>
        </w:r>
      </w:hyperlink>
      <w:r w:rsidRPr="0070601B">
        <w:rPr>
          <w:rFonts w:cs="Times New Roman"/>
          <w:bCs w:val="0"/>
        </w:rPr>
        <w:t>] and [</w:t>
      </w:r>
      <w:hyperlink r:id="rId17" w:anchor="page=160" w:history="1">
        <w:r w:rsidRPr="0070601B">
          <w:rPr>
            <w:rFonts w:cs="Times New Roman"/>
            <w:bCs w:val="0"/>
            <w:color w:val="0000FF"/>
            <w:u w:val="single"/>
          </w:rPr>
          <w:t>SBE Rule 2368.1.5.1</w:t>
        </w:r>
      </w:hyperlink>
      <w:r w:rsidRPr="0070601B">
        <w:rPr>
          <w:rFonts w:cs="Times New Roman"/>
          <w:bCs w:val="0"/>
        </w:rPr>
        <w:t>]</w:t>
      </w:r>
    </w:p>
    <w:p w14:paraId="36D289C8" w14:textId="5B97D2F9" w:rsidR="0070601B" w:rsidRDefault="0070601B" w:rsidP="005E0380">
      <w:r w:rsidRPr="0070601B">
        <w:t xml:space="preserve">Annually, each LEA invites non-public school representatives, including parent representatives, and home study parents to a consultation meeting. During that meeting, topics that must be discussed </w:t>
      </w:r>
      <w:proofErr w:type="gramStart"/>
      <w:r w:rsidRPr="0070601B">
        <w:t>are:</w:t>
      </w:r>
      <w:proofErr w:type="gramEnd"/>
      <w:r w:rsidRPr="0070601B">
        <w:t xml:space="preserve"> </w:t>
      </w:r>
      <w:r w:rsidR="005E0380">
        <w:t>c</w:t>
      </w:r>
      <w:r w:rsidRPr="0070601B">
        <w:t xml:space="preserve">hild </w:t>
      </w:r>
      <w:r w:rsidR="00107CE5">
        <w:t>f</w:t>
      </w:r>
      <w:r w:rsidRPr="0070601B">
        <w:t>ind process, determination of proportionate share, consultation process, provision of special education and related services, and provision of a written explanation by the district regarding services (in the event of disagreement between the district and non-public school officials).  Although the initial consultation must occur prior to other required activities, additional consultation may occur subsequently and be an ongoing process. Ongoing consultation may be with individuals or groups of non-public school representatives.</w:t>
      </w:r>
    </w:p>
    <w:p w14:paraId="52868C7A" w14:textId="77777777" w:rsidR="00EF6DE6" w:rsidRPr="0070601B" w:rsidRDefault="00EF6DE6" w:rsidP="0070601B">
      <w:pPr>
        <w:spacing w:before="0" w:after="0" w:line="240" w:lineRule="auto"/>
        <w:ind w:left="360"/>
        <w:rPr>
          <w:rFonts w:cs="Times New Roman"/>
        </w:rPr>
      </w:pPr>
    </w:p>
    <w:p w14:paraId="47BE5910" w14:textId="77777777" w:rsidR="005E0380" w:rsidRDefault="0070601B" w:rsidP="0070601B">
      <w:pPr>
        <w:keepNext/>
        <w:keepLines/>
        <w:spacing w:before="0" w:after="0" w:line="240" w:lineRule="auto"/>
        <w:outlineLvl w:val="1"/>
        <w:rPr>
          <w:rFonts w:ascii="Franklin Gothic Demi Cond" w:eastAsia="Yu Gothic Light" w:hAnsi="Franklin Gothic Demi Cond" w:cs="Times New Roman"/>
          <w:bCs w:val="0"/>
          <w:color w:val="2F5496"/>
        </w:rPr>
      </w:pPr>
      <w:r w:rsidRPr="005E0380">
        <w:rPr>
          <w:rStyle w:val="Heading1Char"/>
          <w:rFonts w:eastAsia="Yu Gothic Light"/>
        </w:rPr>
        <w:t xml:space="preserve">Written Affirmation Following Consultation </w:t>
      </w:r>
      <w:r w:rsidR="005E0380" w:rsidRPr="005E0380">
        <w:rPr>
          <w:rStyle w:val="Heading1Char"/>
          <w:rFonts w:eastAsia="Yu Gothic Light"/>
        </w:rPr>
        <w:t>(</w:t>
      </w:r>
      <w:r w:rsidRPr="005E0380">
        <w:rPr>
          <w:rStyle w:val="Heading1Char"/>
          <w:rFonts w:eastAsia="Yu Gothic Light"/>
        </w:rPr>
        <w:t>Form 10</w:t>
      </w:r>
      <w:r w:rsidR="005E0380" w:rsidRPr="005E0380">
        <w:rPr>
          <w:rStyle w:val="Heading1Char"/>
          <w:rFonts w:eastAsia="Yu Gothic Light"/>
        </w:rPr>
        <w:t>)</w:t>
      </w:r>
      <w:r w:rsidRPr="0070601B">
        <w:rPr>
          <w:rFonts w:ascii="Franklin Gothic Demi Cond" w:eastAsia="Yu Gothic Light" w:hAnsi="Franklin Gothic Demi Cond" w:cs="Times New Roman"/>
          <w:bCs w:val="0"/>
          <w:color w:val="2F5496"/>
        </w:rPr>
        <w:t xml:space="preserve"> </w:t>
      </w:r>
    </w:p>
    <w:p w14:paraId="45FC8B5B" w14:textId="7DB299AC" w:rsidR="0070601B" w:rsidRPr="0070601B" w:rsidRDefault="0070601B" w:rsidP="005E0380">
      <w:pPr>
        <w:rPr>
          <w:rFonts w:eastAsia="Yu Gothic Light" w:cs="Times New Roman"/>
          <w:color w:val="2F5496"/>
        </w:rPr>
      </w:pPr>
      <w:r w:rsidRPr="0070601B">
        <w:rPr>
          <w:rFonts w:eastAsia="Yu Gothic Light" w:cs="Times New Roman"/>
        </w:rPr>
        <w:t>[</w:t>
      </w:r>
      <w:hyperlink r:id="rId18" w:anchor="se34.2.300_1135" w:history="1">
        <w:r w:rsidRPr="0070601B">
          <w:rPr>
            <w:rFonts w:eastAsia="Yu Gothic Light" w:cs="Times New Roman"/>
            <w:color w:val="0000FF"/>
            <w:u w:val="single"/>
          </w:rPr>
          <w:t>34 CFR §300.135</w:t>
        </w:r>
      </w:hyperlink>
      <w:r w:rsidRPr="0070601B">
        <w:rPr>
          <w:rFonts w:eastAsia="Yu Gothic Light" w:cs="Times New Roman"/>
        </w:rPr>
        <w:t>]</w:t>
      </w:r>
      <w:r w:rsidRPr="0070601B">
        <w:rPr>
          <w:rFonts w:eastAsia="Yu Gothic Light" w:cs="Times New Roman"/>
          <w:color w:val="2F5496"/>
        </w:rPr>
        <w:t xml:space="preserve"> </w:t>
      </w:r>
      <w:r w:rsidRPr="0070601B">
        <w:rPr>
          <w:rFonts w:eastAsia="Yu Gothic Light" w:cs="Times New Roman"/>
        </w:rPr>
        <w:t>and</w:t>
      </w:r>
      <w:r w:rsidRPr="0070601B">
        <w:rPr>
          <w:rFonts w:eastAsia="Yu Gothic Light" w:cs="Times New Roman"/>
          <w:color w:val="2F5496"/>
        </w:rPr>
        <w:t xml:space="preserve"> </w:t>
      </w:r>
      <w:r w:rsidRPr="0070601B">
        <w:rPr>
          <w:rFonts w:eastAsia="Yu Gothic Light" w:cs="Times New Roman"/>
        </w:rPr>
        <w:t>[</w:t>
      </w:r>
      <w:hyperlink r:id="rId19" w:anchor="page=162" w:history="1">
        <w:r w:rsidRPr="0070601B">
          <w:rPr>
            <w:rFonts w:eastAsia="Yu Gothic Light" w:cs="Times New Roman"/>
            <w:color w:val="0000FF"/>
            <w:u w:val="single"/>
          </w:rPr>
          <w:t>SBE Rule 2368.1.5.2</w:t>
        </w:r>
      </w:hyperlink>
      <w:r w:rsidRPr="0070601B">
        <w:rPr>
          <w:rFonts w:eastAsia="Yu Gothic Light" w:cs="Times New Roman"/>
          <w:color w:val="2F5496"/>
        </w:rPr>
        <w:t>]</w:t>
      </w:r>
    </w:p>
    <w:p w14:paraId="047B09C3" w14:textId="1D8538F3" w:rsidR="0070601B" w:rsidRDefault="0070601B" w:rsidP="005E0380">
      <w:pPr>
        <w:rPr>
          <w:rFonts w:cs="Times New Roman"/>
        </w:rPr>
      </w:pPr>
      <w:r w:rsidRPr="0070601B">
        <w:rPr>
          <w:rFonts w:cs="Times New Roman"/>
        </w:rPr>
        <w:t xml:space="preserve">After the annual meeting, each LEA obtains written affirmation confirming that timely and meaningful consultation has occurred, signed by the non-profit non-public school and parent representatives. Although helpful to document representation, attendance sheets don’t provide evidence of </w:t>
      </w:r>
      <w:r w:rsidRPr="0070601B">
        <w:rPr>
          <w:rFonts w:cs="Times New Roman"/>
          <w:i/>
          <w:iCs/>
        </w:rPr>
        <w:t>meaningful</w:t>
      </w:r>
      <w:r w:rsidRPr="0070601B">
        <w:rPr>
          <w:rFonts w:cs="Times New Roman"/>
        </w:rPr>
        <w:t xml:space="preserve"> consultation. The written affirmation is confirmation that consultation has occurred but does indicate whether there is agreement among meeting participants. {Form 10 – Written Affirmation Statement}</w:t>
      </w:r>
    </w:p>
    <w:p w14:paraId="1AE6772E" w14:textId="77777777" w:rsidR="009F3400" w:rsidRPr="0070601B" w:rsidRDefault="009F3400" w:rsidP="005E0380">
      <w:pPr>
        <w:rPr>
          <w:rFonts w:cs="Times New Roman"/>
        </w:rPr>
      </w:pPr>
    </w:p>
    <w:p w14:paraId="7D6DAB31" w14:textId="77777777" w:rsidR="006257CE" w:rsidRDefault="0070601B" w:rsidP="005E0380">
      <w:pPr>
        <w:rPr>
          <w:rFonts w:cs="Times New Roman"/>
        </w:rPr>
      </w:pPr>
      <w:r w:rsidRPr="0070601B">
        <w:rPr>
          <w:rFonts w:cs="Times New Roman"/>
        </w:rPr>
        <w:t>Vermont rules require that the written affirmation include consultation with non-public school representatives and representatives of parents of non-public schools and home study</w:t>
      </w:r>
    </w:p>
    <w:p w14:paraId="7F32404C" w14:textId="786608D4" w:rsidR="0070601B" w:rsidRPr="0070601B" w:rsidRDefault="0070601B" w:rsidP="0070601B">
      <w:pPr>
        <w:spacing w:before="0" w:after="0" w:line="240" w:lineRule="auto"/>
        <w:ind w:left="360"/>
        <w:rPr>
          <w:rFonts w:ascii="Segoe UI" w:hAnsi="Segoe UI" w:cs="Segoe UI"/>
          <w:bCs w:val="0"/>
          <w:sz w:val="21"/>
          <w:szCs w:val="21"/>
        </w:rPr>
      </w:pPr>
      <w:r w:rsidRPr="0070601B">
        <w:rPr>
          <w:rFonts w:cs="Times New Roman"/>
        </w:rPr>
        <w:t xml:space="preserve"> </w:t>
      </w:r>
    </w:p>
    <w:p w14:paraId="573F5C4B" w14:textId="77777777" w:rsidR="005E0380" w:rsidRPr="005E0380" w:rsidRDefault="0070601B" w:rsidP="0070601B">
      <w:pPr>
        <w:spacing w:before="0" w:after="0" w:line="240" w:lineRule="auto"/>
        <w:rPr>
          <w:rStyle w:val="Heading1Char"/>
        </w:rPr>
      </w:pPr>
      <w:r w:rsidRPr="0070601B">
        <w:rPr>
          <w:rFonts w:ascii="Times New Roman" w:hAnsi="Times New Roman" w:cs="Times New Roman"/>
          <w:bCs w:val="0"/>
          <w:sz w:val="24"/>
          <w:szCs w:val="24"/>
        </w:rPr>
        <w:t>​</w:t>
      </w:r>
      <w:r w:rsidRPr="005E0380">
        <w:rPr>
          <w:rStyle w:val="Heading1Char"/>
        </w:rPr>
        <w:t xml:space="preserve">Child Find </w:t>
      </w:r>
    </w:p>
    <w:p w14:paraId="45D9A83C" w14:textId="1F52ED68" w:rsidR="0070601B" w:rsidRPr="0070601B" w:rsidRDefault="0070601B" w:rsidP="005E0380">
      <w:pPr>
        <w:rPr>
          <w:rFonts w:cs="Times New Roman"/>
        </w:rPr>
      </w:pPr>
      <w:r w:rsidRPr="0070601B">
        <w:rPr>
          <w:rFonts w:cs="Times New Roman"/>
        </w:rPr>
        <w:t>[</w:t>
      </w:r>
      <w:hyperlink r:id="rId20" w:anchor="se34.2.300_1131" w:history="1">
        <w:r w:rsidRPr="0070601B">
          <w:rPr>
            <w:rFonts w:cs="Times New Roman"/>
            <w:color w:val="0000FF"/>
            <w:u w:val="single"/>
          </w:rPr>
          <w:t>34 CFR §300.131</w:t>
        </w:r>
      </w:hyperlink>
      <w:r w:rsidRPr="0070601B">
        <w:rPr>
          <w:rFonts w:cs="Times New Roman"/>
        </w:rPr>
        <w:t>] and [</w:t>
      </w:r>
      <w:hyperlink r:id="rId21" w:anchor="page=158" w:history="1">
        <w:r w:rsidRPr="0070601B">
          <w:rPr>
            <w:rFonts w:cs="Times New Roman"/>
            <w:color w:val="0000FF"/>
            <w:u w:val="single"/>
          </w:rPr>
          <w:t>SBE Rule 2368.1.1</w:t>
        </w:r>
        <w:r w:rsidRPr="0070601B">
          <w:rPr>
            <w:rFonts w:cs="Times New Roman"/>
          </w:rPr>
          <w:t>]</w:t>
        </w:r>
      </w:hyperlink>
    </w:p>
    <w:p w14:paraId="4A17CCC1" w14:textId="38BB1189" w:rsidR="0070601B" w:rsidRDefault="0070601B" w:rsidP="005E0380">
      <w:pPr>
        <w:rPr>
          <w:rFonts w:cs="Times New Roman"/>
        </w:rPr>
      </w:pPr>
      <w:r w:rsidRPr="0070601B">
        <w:rPr>
          <w:rFonts w:cs="Times New Roman"/>
        </w:rPr>
        <w:t>Child Find activities for non-</w:t>
      </w:r>
      <w:proofErr w:type="gramStart"/>
      <w:r w:rsidRPr="0070601B">
        <w:rPr>
          <w:rFonts w:cs="Times New Roman"/>
        </w:rPr>
        <w:t>publicly-enrolled</w:t>
      </w:r>
      <w:proofErr w:type="gramEnd"/>
      <w:r w:rsidRPr="0070601B">
        <w:rPr>
          <w:rFonts w:cs="Times New Roman"/>
        </w:rPr>
        <w:t xml:space="preserve"> students (ages 3-21) are conducted by each LEA and are comparable to those conducted for public school students. Each LEA provides all non-public schools and non-</w:t>
      </w:r>
      <w:proofErr w:type="gramStart"/>
      <w:r w:rsidRPr="0070601B">
        <w:rPr>
          <w:rFonts w:cs="Times New Roman"/>
        </w:rPr>
        <w:t>publicly-enrolled</w:t>
      </w:r>
      <w:proofErr w:type="gramEnd"/>
      <w:r w:rsidRPr="0070601B">
        <w:rPr>
          <w:rFonts w:cs="Times New Roman"/>
        </w:rPr>
        <w:t xml:space="preserve"> students with information describing how students can access publicly-funded evaluations and special education services. </w:t>
      </w:r>
    </w:p>
    <w:p w14:paraId="718B9909" w14:textId="77777777" w:rsidR="00504921" w:rsidRDefault="00504921" w:rsidP="005E0380">
      <w:pPr>
        <w:rPr>
          <w:rFonts w:cs="Times New Roman"/>
        </w:rPr>
      </w:pPr>
    </w:p>
    <w:p w14:paraId="0E16E27B" w14:textId="648572CF" w:rsidR="0070601B" w:rsidRPr="0070601B" w:rsidRDefault="0070601B" w:rsidP="005E0380">
      <w:pPr>
        <w:rPr>
          <w:rFonts w:cs="Times New Roman"/>
        </w:rPr>
      </w:pPr>
      <w:r w:rsidRPr="0070601B">
        <w:rPr>
          <w:rFonts w:cs="Times New Roman"/>
        </w:rPr>
        <w:t xml:space="preserve">State and Federal requirements related to IDEA Part B Child Find activities require that LEAs have a process for locating, identifying and evaluating all children ages 3 to 21 residing in </w:t>
      </w:r>
      <w:r w:rsidRPr="0070601B">
        <w:rPr>
          <w:rFonts w:cs="Times New Roman"/>
        </w:rPr>
        <w:lastRenderedPageBreak/>
        <w:t>Vermont who may need special education and related services - regardless of the severity of their disability [</w:t>
      </w:r>
      <w:hyperlink r:id="rId22" w:anchor="page=25" w:history="1">
        <w:r w:rsidRPr="0070601B">
          <w:rPr>
            <w:rFonts w:cs="Times New Roman"/>
            <w:color w:val="0000FF"/>
            <w:u w:val="single"/>
          </w:rPr>
          <w:t>SBE Rule 2360.3</w:t>
        </w:r>
      </w:hyperlink>
      <w:r w:rsidRPr="0070601B">
        <w:rPr>
          <w:rFonts w:cs="Times New Roman"/>
          <w:color w:val="0070C0"/>
        </w:rPr>
        <w:t xml:space="preserve"> </w:t>
      </w:r>
      <w:r w:rsidRPr="0070601B">
        <w:rPr>
          <w:rFonts w:cs="Times New Roman"/>
        </w:rPr>
        <w:t>and</w:t>
      </w:r>
      <w:r w:rsidRPr="0070601B">
        <w:rPr>
          <w:rFonts w:cs="Times New Roman"/>
          <w:color w:val="0070C0"/>
        </w:rPr>
        <w:t xml:space="preserve"> </w:t>
      </w:r>
      <w:hyperlink r:id="rId23" w:history="1">
        <w:r w:rsidRPr="0070601B">
          <w:rPr>
            <w:rFonts w:cs="Times New Roman"/>
            <w:color w:val="0000FF"/>
            <w:u w:val="single"/>
          </w:rPr>
          <w:t>34 CFR §300.111</w:t>
        </w:r>
      </w:hyperlink>
      <w:r w:rsidRPr="0070601B">
        <w:rPr>
          <w:rFonts w:cs="Times New Roman"/>
        </w:rPr>
        <w:t>]. This includes students who</w:t>
      </w:r>
      <w:r w:rsidR="005E0380">
        <w:rPr>
          <w:rFonts w:cs="Times New Roman"/>
        </w:rPr>
        <w:t>:</w:t>
      </w:r>
      <w:r w:rsidRPr="0070601B">
        <w:rPr>
          <w:rFonts w:cs="Times New Roman"/>
        </w:rPr>
        <w:t xml:space="preserve"> </w:t>
      </w:r>
    </w:p>
    <w:p w14:paraId="1EFB3E69" w14:textId="77777777" w:rsidR="0070601B" w:rsidRPr="0070601B" w:rsidRDefault="0070601B" w:rsidP="005E0380">
      <w:pPr>
        <w:pStyle w:val="AOEBulletedList"/>
      </w:pPr>
      <w:r w:rsidRPr="0070601B">
        <w:t xml:space="preserve">attend non-public schools, public schools, or are enrolled in home study </w:t>
      </w:r>
      <w:proofErr w:type="gramStart"/>
      <w:r w:rsidRPr="0070601B">
        <w:t>programs;</w:t>
      </w:r>
      <w:proofErr w:type="gramEnd"/>
    </w:p>
    <w:p w14:paraId="2795FEB0" w14:textId="77777777" w:rsidR="0070601B" w:rsidRPr="0070601B" w:rsidRDefault="0070601B" w:rsidP="005E0380">
      <w:pPr>
        <w:pStyle w:val="AOEBulletedList"/>
      </w:pPr>
      <w:r w:rsidRPr="0070601B">
        <w:t xml:space="preserve">are highly mobile students, including </w:t>
      </w:r>
      <w:proofErr w:type="gramStart"/>
      <w:r w:rsidRPr="0070601B">
        <w:t>migrant students;</w:t>
      </w:r>
      <w:proofErr w:type="gramEnd"/>
    </w:p>
    <w:p w14:paraId="405876C9" w14:textId="77777777" w:rsidR="0070601B" w:rsidRPr="0070601B" w:rsidRDefault="0070601B" w:rsidP="005E0380">
      <w:pPr>
        <w:pStyle w:val="AOEBulletedList"/>
      </w:pPr>
      <w:r w:rsidRPr="0070601B">
        <w:t>are homeless students or wards of the State; and</w:t>
      </w:r>
    </w:p>
    <w:p w14:paraId="1CD1D67D" w14:textId="77777777" w:rsidR="0070601B" w:rsidRPr="0070601B" w:rsidRDefault="0070601B" w:rsidP="005E0380">
      <w:pPr>
        <w:pStyle w:val="AOEBulletedList"/>
      </w:pPr>
      <w:r w:rsidRPr="0070601B">
        <w:t>students suspected of needing special education or related services, even though they are advancing from grade to grade.</w:t>
      </w:r>
    </w:p>
    <w:p w14:paraId="41C330CE" w14:textId="77777777" w:rsidR="0093365D" w:rsidRDefault="0093365D" w:rsidP="0070601B">
      <w:pPr>
        <w:keepNext/>
        <w:keepLines/>
        <w:spacing w:before="0" w:after="0" w:line="240" w:lineRule="auto"/>
        <w:outlineLvl w:val="1"/>
        <w:rPr>
          <w:rFonts w:ascii="Franklin Gothic Demi Cond" w:eastAsia="Yu Gothic Light" w:hAnsi="Franklin Gothic Demi Cond" w:cs="Times New Roman"/>
          <w:bCs w:val="0"/>
        </w:rPr>
      </w:pPr>
    </w:p>
    <w:p w14:paraId="391E283E" w14:textId="1D203B10" w:rsidR="0070601B" w:rsidRPr="0070601B" w:rsidRDefault="0070601B" w:rsidP="005E0380">
      <w:pPr>
        <w:pStyle w:val="Heading1"/>
        <w:rPr>
          <w:rFonts w:eastAsia="Yu Gothic Light"/>
          <w:bCs/>
          <w:color w:val="2F5496"/>
        </w:rPr>
      </w:pPr>
      <w:r w:rsidRPr="0070601B">
        <w:rPr>
          <w:rFonts w:eastAsia="Yu Gothic Light"/>
        </w:rPr>
        <w:t>Evaluation and Determination of Eligibility</w:t>
      </w:r>
      <w:r w:rsidRPr="0070601B">
        <w:rPr>
          <w:rFonts w:eastAsia="Yu Gothic Light"/>
          <w:color w:val="2F5496"/>
        </w:rPr>
        <w:t xml:space="preserve"> </w:t>
      </w:r>
    </w:p>
    <w:p w14:paraId="54FA9A27" w14:textId="77777777" w:rsidR="0070601B" w:rsidRPr="0070601B" w:rsidRDefault="0070601B" w:rsidP="005E0380">
      <w:r w:rsidRPr="0070601B">
        <w:t>Each LEA evaluates and determines whether non-</w:t>
      </w:r>
      <w:proofErr w:type="gramStart"/>
      <w:r w:rsidRPr="0070601B">
        <w:t>publicly-enrolled</w:t>
      </w:r>
      <w:proofErr w:type="gramEnd"/>
      <w:r w:rsidRPr="0070601B">
        <w:t xml:space="preserve"> students are eligible for special education services. Each LEA may accept a prior evaluation if the information is comprehensive and current.</w:t>
      </w:r>
    </w:p>
    <w:p w14:paraId="20B2C4E8" w14:textId="77777777" w:rsidR="005E0380" w:rsidRDefault="0070601B" w:rsidP="005E0380">
      <w:pPr>
        <w:pStyle w:val="Heading1"/>
        <w:rPr>
          <w:rFonts w:eastAsia="Yu Gothic Light"/>
          <w:color w:val="2F5496"/>
        </w:rPr>
      </w:pPr>
      <w:r w:rsidRPr="0070601B">
        <w:rPr>
          <w:rFonts w:eastAsia="Yu Gothic Light"/>
        </w:rPr>
        <w:t>Child Count and Proportionate Share Calculation</w:t>
      </w:r>
      <w:r w:rsidRPr="0070601B">
        <w:rPr>
          <w:rFonts w:eastAsia="Yu Gothic Light"/>
          <w:color w:val="2F5496"/>
        </w:rPr>
        <w:t xml:space="preserve"> </w:t>
      </w:r>
    </w:p>
    <w:p w14:paraId="2CF8BCE2" w14:textId="74BA0DDD" w:rsidR="0070601B" w:rsidRPr="0070601B" w:rsidRDefault="0070601B" w:rsidP="005E0380">
      <w:pPr>
        <w:rPr>
          <w:rFonts w:eastAsia="Yu Gothic Light" w:cs="Times New Roman"/>
          <w:color w:val="2F5496"/>
        </w:rPr>
      </w:pPr>
      <w:r w:rsidRPr="0070601B">
        <w:rPr>
          <w:rFonts w:eastAsia="Yu Gothic Light" w:cs="Times New Roman"/>
        </w:rPr>
        <w:t>[</w:t>
      </w:r>
      <w:hyperlink r:id="rId24" w:anchor="se34.2.300_1133">
        <w:r w:rsidRPr="0070601B">
          <w:rPr>
            <w:rFonts w:eastAsia="Yu Gothic Light" w:cs="Times New Roman"/>
            <w:color w:val="0000FF"/>
            <w:u w:val="single"/>
          </w:rPr>
          <w:t>34 CFR §300.133</w:t>
        </w:r>
      </w:hyperlink>
      <w:r w:rsidRPr="0070601B">
        <w:rPr>
          <w:rFonts w:eastAsia="Yu Gothic Light" w:cs="Times New Roman"/>
        </w:rPr>
        <w:t>] and [</w:t>
      </w:r>
      <w:hyperlink r:id="rId25" w:anchor="page=159" w:history="1">
        <w:r w:rsidRPr="0070601B">
          <w:rPr>
            <w:rFonts w:eastAsia="Yu Gothic Light" w:cs="Times New Roman"/>
            <w:color w:val="0000FF"/>
            <w:u w:val="single"/>
          </w:rPr>
          <w:t>SBE Rules 2368.1.2 - 2368.1.3</w:t>
        </w:r>
      </w:hyperlink>
      <w:r w:rsidRPr="0070601B">
        <w:rPr>
          <w:rFonts w:eastAsia="Yu Gothic Light" w:cs="Times New Roman"/>
        </w:rPr>
        <w:t>]</w:t>
      </w:r>
      <w:r w:rsidRPr="0070601B">
        <w:rPr>
          <w:rFonts w:eastAsia="Yu Gothic Light" w:cs="Times New Roman"/>
          <w:color w:val="2F5496"/>
        </w:rPr>
        <w:t xml:space="preserve"> </w:t>
      </w:r>
    </w:p>
    <w:p w14:paraId="5D730776" w14:textId="77777777" w:rsidR="0070601B" w:rsidRPr="0070601B" w:rsidRDefault="0070601B" w:rsidP="005E0380">
      <w:pPr>
        <w:rPr>
          <w:rFonts w:cs="Times New Roman"/>
        </w:rPr>
      </w:pPr>
      <w:r w:rsidRPr="0070601B">
        <w:rPr>
          <w:rFonts w:eastAsia="Palatino Linotype" w:cs="Palatino Linotype"/>
        </w:rPr>
        <w:t xml:space="preserve">Child Count (conducted in Vermont on December 1) includes the number of </w:t>
      </w:r>
      <w:r w:rsidRPr="0070601B">
        <w:rPr>
          <w:rFonts w:eastAsia="Palatino Linotype" w:cs="Palatino Linotype"/>
          <w:b/>
          <w:i/>
          <w:iCs/>
        </w:rPr>
        <w:t>eligible</w:t>
      </w:r>
      <w:r w:rsidRPr="0070601B">
        <w:rPr>
          <w:rFonts w:eastAsia="Palatino Linotype" w:cs="Palatino Linotype"/>
        </w:rPr>
        <w:t xml:space="preserve"> students, this collection includes the number of such students who are parentally placed, non-</w:t>
      </w:r>
      <w:proofErr w:type="gramStart"/>
      <w:r w:rsidRPr="0070601B">
        <w:rPr>
          <w:rFonts w:eastAsia="Palatino Linotype" w:cs="Palatino Linotype"/>
        </w:rPr>
        <w:t>publicly-enrolled</w:t>
      </w:r>
      <w:proofErr w:type="gramEnd"/>
      <w:r w:rsidRPr="0070601B">
        <w:rPr>
          <w:rFonts w:eastAsia="Palatino Linotype" w:cs="Palatino Linotype"/>
        </w:rPr>
        <w:t xml:space="preserve"> receiving services, reported as funding category CHCNO = 2 </w:t>
      </w:r>
      <w:r w:rsidRPr="0070601B">
        <w:rPr>
          <w:rFonts w:ascii="Times New Roman" w:hAnsi="Times New Roman" w:cs="Times New Roman"/>
          <w:sz w:val="24"/>
          <w:szCs w:val="24"/>
        </w:rPr>
        <w:t xml:space="preserve">IDEA Services Plan. </w:t>
      </w:r>
    </w:p>
    <w:p w14:paraId="20F22026" w14:textId="77777777" w:rsidR="0070601B" w:rsidRPr="0070601B" w:rsidRDefault="0070601B" w:rsidP="005E0380">
      <w:pPr>
        <w:rPr>
          <w:rFonts w:eastAsia="Palatino Linotype" w:cs="Palatino Linotype"/>
        </w:rPr>
      </w:pPr>
      <w:r w:rsidRPr="0070601B">
        <w:rPr>
          <w:rFonts w:eastAsia="Palatino Linotype" w:cs="Palatino Linotype"/>
        </w:rPr>
        <w:t>The Grants Management System (GMS) IDEA grant application contains two tabs to calculate proportionate share separately for the IDEA Section 611 (ages 3-21) and Section 619 (ages 3-5) grants, the LEA completes the first two boxes, once these are entered, you will click the [calculate totals] button:</w:t>
      </w:r>
    </w:p>
    <w:p w14:paraId="03C802F6" w14:textId="5B4CEFB6" w:rsidR="0070601B" w:rsidRPr="0070601B" w:rsidRDefault="0070601B" w:rsidP="005E0380">
      <w:pPr>
        <w:rPr>
          <w:rFonts w:ascii="Times New Roman" w:eastAsia="Yu Mincho" w:hAnsi="Times New Roman" w:cs="Times New Roman"/>
          <w:sz w:val="24"/>
          <w:szCs w:val="24"/>
        </w:rPr>
      </w:pPr>
      <w:r w:rsidRPr="0070601B">
        <w:rPr>
          <w:rFonts w:eastAsia="Palatino Linotype"/>
        </w:rPr>
        <w:t xml:space="preserve">GMS IDEA form boxes defined </w:t>
      </w:r>
      <w:r w:rsidR="005E0380">
        <w:rPr>
          <w:rFonts w:eastAsia="Palatino Linotype"/>
        </w:rPr>
        <w:t>(</w:t>
      </w:r>
      <w:r w:rsidRPr="0070601B">
        <w:rPr>
          <w:rFonts w:eastAsia="Palatino Linotype"/>
        </w:rPr>
        <w:t>boxes are not numbered in form</w:t>
      </w:r>
      <w:r w:rsidR="005E0380">
        <w:rPr>
          <w:rFonts w:eastAsia="Palatino Linotype"/>
        </w:rPr>
        <w:t>):</w:t>
      </w:r>
    </w:p>
    <w:p w14:paraId="2B2650D7" w14:textId="77777777" w:rsidR="0070601B" w:rsidRPr="0070601B" w:rsidRDefault="0070601B" w:rsidP="005E0380">
      <w:pPr>
        <w:pStyle w:val="AOENumberedList"/>
        <w:rPr>
          <w:rFonts w:ascii="Calibri" w:eastAsia="Yu Mincho" w:hAnsi="Calibri" w:cs="Arial"/>
        </w:rPr>
      </w:pPr>
      <w:r w:rsidRPr="0070601B">
        <w:rPr>
          <w:rFonts w:eastAsia="Palatino Linotype"/>
        </w:rPr>
        <w:t>LEA inputs the number by the total number of eligible special education students</w:t>
      </w:r>
    </w:p>
    <w:p w14:paraId="77F807CB" w14:textId="77777777" w:rsidR="0070601B" w:rsidRPr="0070601B" w:rsidRDefault="0070601B" w:rsidP="005E0380">
      <w:pPr>
        <w:pStyle w:val="AOENumberedList"/>
        <w:rPr>
          <w:rFonts w:ascii="Calibri" w:eastAsia="Yu Mincho" w:hAnsi="Calibri" w:cs="Arial"/>
        </w:rPr>
      </w:pPr>
      <w:r w:rsidRPr="0070601B">
        <w:rPr>
          <w:rFonts w:eastAsia="Palatino Linotype"/>
        </w:rPr>
        <w:t>LEA inputs the total number of eligible special education students who are non-</w:t>
      </w:r>
      <w:proofErr w:type="gramStart"/>
      <w:r w:rsidRPr="0070601B">
        <w:rPr>
          <w:rFonts w:eastAsia="Palatino Linotype"/>
        </w:rPr>
        <w:t>publicly-enrolled</w:t>
      </w:r>
      <w:proofErr w:type="gramEnd"/>
      <w:r w:rsidRPr="0070601B">
        <w:rPr>
          <w:rFonts w:eastAsia="Palatino Linotype"/>
        </w:rPr>
        <w:t xml:space="preserve"> or homeschooled ***CHCNO = 2 in December 1 Child Count</w:t>
      </w:r>
    </w:p>
    <w:p w14:paraId="014FDFBA" w14:textId="77777777" w:rsidR="0070601B" w:rsidRPr="0070601B" w:rsidRDefault="0070601B" w:rsidP="005E0380">
      <w:pPr>
        <w:pStyle w:val="AOENumberedList"/>
        <w:rPr>
          <w:rFonts w:ascii="Times New Roman" w:eastAsia="Yu Mincho" w:hAnsi="Times New Roman" w:cs="Times New Roman"/>
          <w:sz w:val="24"/>
          <w:szCs w:val="24"/>
        </w:rPr>
      </w:pPr>
      <w:r w:rsidRPr="0070601B">
        <w:rPr>
          <w:rFonts w:eastAsia="Palatino Linotype"/>
        </w:rPr>
        <w:t>**select [calculate totals] remaining grayed out boxes will populate.</w:t>
      </w:r>
    </w:p>
    <w:p w14:paraId="7046821D" w14:textId="77777777" w:rsidR="0070601B" w:rsidRPr="0070601B" w:rsidRDefault="0070601B" w:rsidP="005E0380">
      <w:pPr>
        <w:pStyle w:val="AOENumberedList"/>
        <w:rPr>
          <w:rFonts w:ascii="Calibri" w:eastAsia="Yu Mincho" w:hAnsi="Calibri" w:cs="Arial"/>
        </w:rPr>
      </w:pPr>
      <w:r w:rsidRPr="0070601B">
        <w:rPr>
          <w:rFonts w:eastAsia="Palatino Linotype"/>
        </w:rPr>
        <w:t xml:space="preserve"> GMS system calculates total eligible children</w:t>
      </w:r>
    </w:p>
    <w:p w14:paraId="5BFA7E6F" w14:textId="77777777" w:rsidR="0070601B" w:rsidRPr="0070601B" w:rsidRDefault="0070601B" w:rsidP="005E0380">
      <w:pPr>
        <w:pStyle w:val="AOENumberedList"/>
        <w:rPr>
          <w:rFonts w:ascii="Calibri" w:eastAsia="Yu Mincho" w:hAnsi="Calibri" w:cs="Arial"/>
        </w:rPr>
      </w:pPr>
      <w:r w:rsidRPr="0070601B">
        <w:rPr>
          <w:rFonts w:eastAsia="Palatino Linotype"/>
        </w:rPr>
        <w:t>IDEA Basic Allocation</w:t>
      </w:r>
    </w:p>
    <w:p w14:paraId="33D13CEB" w14:textId="77777777" w:rsidR="0070601B" w:rsidRPr="0070601B" w:rsidRDefault="0070601B" w:rsidP="005E0380">
      <w:pPr>
        <w:pStyle w:val="AOENumberedList"/>
        <w:rPr>
          <w:rFonts w:ascii="Calibri" w:eastAsia="Yu Mincho" w:hAnsi="Calibri" w:cs="Arial"/>
        </w:rPr>
      </w:pPr>
      <w:r w:rsidRPr="0070601B">
        <w:rPr>
          <w:rFonts w:eastAsia="Palatino Linotype"/>
        </w:rPr>
        <w:t>Balance to calculate proportionate share</w:t>
      </w:r>
    </w:p>
    <w:p w14:paraId="7D1ADFFB" w14:textId="77777777" w:rsidR="0070601B" w:rsidRPr="0070601B" w:rsidRDefault="0070601B" w:rsidP="005E0380">
      <w:pPr>
        <w:pStyle w:val="AOENumberedList"/>
        <w:rPr>
          <w:rFonts w:ascii="Calibri" w:eastAsia="Yu Mincho" w:hAnsi="Calibri" w:cs="Arial"/>
        </w:rPr>
      </w:pPr>
      <w:r w:rsidRPr="0070601B">
        <w:rPr>
          <w:rFonts w:eastAsia="Palatino Linotype"/>
        </w:rPr>
        <w:t>divides IDEA Basic Allocation by total number of students = per student amount **divides values in boxes 5 and 3</w:t>
      </w:r>
    </w:p>
    <w:p w14:paraId="0B0F8D82" w14:textId="77777777" w:rsidR="0070601B" w:rsidRPr="0070601B" w:rsidRDefault="0070601B" w:rsidP="005E0380">
      <w:pPr>
        <w:pStyle w:val="AOENumberedList"/>
        <w:rPr>
          <w:rFonts w:ascii="Calibri" w:eastAsia="Yu Mincho" w:hAnsi="Calibri" w:cs="Arial"/>
        </w:rPr>
      </w:pPr>
      <w:r w:rsidRPr="0070601B">
        <w:rPr>
          <w:rFonts w:eastAsia="Palatino Linotype"/>
        </w:rPr>
        <w:t>provides the amount you are required to set aside for proportionate share.</w:t>
      </w:r>
    </w:p>
    <w:p w14:paraId="6EB4684D" w14:textId="77777777" w:rsidR="0070601B" w:rsidRPr="0070601B" w:rsidRDefault="0070601B" w:rsidP="005E0380">
      <w:pPr>
        <w:rPr>
          <w:rFonts w:eastAsia="Palatino Linotype"/>
        </w:rPr>
      </w:pPr>
      <w:r w:rsidRPr="0070601B">
        <w:rPr>
          <w:rFonts w:eastAsia="Palatino Linotype"/>
        </w:rPr>
        <w:t>Example GMS screenshot:</w:t>
      </w:r>
    </w:p>
    <w:p w14:paraId="1A123508" w14:textId="77777777" w:rsidR="0070601B" w:rsidRPr="0070601B" w:rsidRDefault="0070601B" w:rsidP="0070601B">
      <w:pPr>
        <w:spacing w:before="0" w:after="0" w:line="240" w:lineRule="auto"/>
        <w:ind w:left="360"/>
        <w:jc w:val="center"/>
        <w:rPr>
          <w:rFonts w:ascii="Times New Roman" w:eastAsia="Yu Mincho" w:hAnsi="Times New Roman" w:cs="Times New Roman"/>
          <w:bCs w:val="0"/>
          <w:sz w:val="24"/>
          <w:szCs w:val="24"/>
        </w:rPr>
      </w:pPr>
      <w:r w:rsidRPr="0070601B">
        <w:rPr>
          <w:rFonts w:ascii="Times New Roman" w:hAnsi="Times New Roman" w:cs="Times New Roman"/>
          <w:bCs w:val="0"/>
          <w:noProof/>
          <w:sz w:val="24"/>
          <w:szCs w:val="24"/>
        </w:rPr>
        <w:lastRenderedPageBreak/>
        <w:drawing>
          <wp:inline distT="0" distB="0" distL="0" distR="0" wp14:anchorId="09B5F7CC" wp14:editId="7A532A9F">
            <wp:extent cx="3898806" cy="2024380"/>
            <wp:effectExtent l="19050" t="19050" r="26035" b="13970"/>
            <wp:docPr id="210671587" name="Picture 210671587" descr="screenshot from GMS depicting boxes to be completed by LEA in order for prop share to be automatically calculated in GMS. Information required was previously included in the narrative above the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71587" name="Picture 210671587" descr="screenshot from GMS depicting boxes to be completed by LEA in order for prop share to be automatically calculated in GMS. Information required was previously included in the narrative above the image. "/>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978124" cy="2065564"/>
                    </a:xfrm>
                    <a:prstGeom prst="rect">
                      <a:avLst/>
                    </a:prstGeom>
                    <a:ln>
                      <a:solidFill>
                        <a:srgbClr val="92D050"/>
                      </a:solidFill>
                    </a:ln>
                  </pic:spPr>
                </pic:pic>
              </a:graphicData>
            </a:graphic>
          </wp:inline>
        </w:drawing>
      </w:r>
    </w:p>
    <w:p w14:paraId="47892C7A" w14:textId="77777777" w:rsidR="0070601B" w:rsidRPr="0070601B" w:rsidRDefault="0070601B" w:rsidP="005E0380">
      <w:pPr>
        <w:rPr>
          <w:rFonts w:eastAsia="Palatino Linotype"/>
        </w:rPr>
      </w:pPr>
      <w:r w:rsidRPr="0070601B">
        <w:rPr>
          <w:rFonts w:eastAsia="Palatino Linotype"/>
        </w:rPr>
        <w:t>Below calculate totals, you are expected to enter non-public school and/or home study information (GMS label shows independent school), example screenshot:</w:t>
      </w:r>
    </w:p>
    <w:p w14:paraId="747C237A" w14:textId="77777777" w:rsidR="0070601B" w:rsidRPr="0070601B" w:rsidRDefault="0070601B" w:rsidP="0070601B">
      <w:pPr>
        <w:spacing w:before="0" w:after="0" w:line="240" w:lineRule="auto"/>
        <w:ind w:left="360"/>
        <w:jc w:val="center"/>
        <w:rPr>
          <w:rFonts w:ascii="Times New Roman" w:eastAsia="Yu Mincho" w:hAnsi="Times New Roman" w:cs="Times New Roman"/>
          <w:bCs w:val="0"/>
          <w:sz w:val="24"/>
          <w:szCs w:val="24"/>
        </w:rPr>
      </w:pPr>
      <w:r w:rsidRPr="0070601B">
        <w:rPr>
          <w:rFonts w:ascii="Times New Roman" w:hAnsi="Times New Roman" w:cs="Times New Roman"/>
          <w:bCs w:val="0"/>
          <w:noProof/>
          <w:sz w:val="24"/>
          <w:szCs w:val="24"/>
        </w:rPr>
        <w:drawing>
          <wp:inline distT="0" distB="0" distL="0" distR="0" wp14:anchorId="26E5E592" wp14:editId="18349E04">
            <wp:extent cx="3556660" cy="1700323"/>
            <wp:effectExtent l="19050" t="19050" r="24765" b="14605"/>
            <wp:docPr id="1813666410" name="Picture 1813666410" descr="screenshot from GMS depicting boxes to be completed by LEA for independent school name, address and phon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666410" name="Picture 1813666410" descr="screenshot from GMS depicting boxes to be completed by LEA for independent school name, address and phone number.  "/>
                    <pic:cNvPicPr/>
                  </pic:nvPicPr>
                  <pic:blipFill rotWithShape="1">
                    <a:blip r:embed="rId27">
                      <a:extLst>
                        <a:ext uri="{28A0092B-C50C-407E-A947-70E740481C1C}">
                          <a14:useLocalDpi xmlns:a14="http://schemas.microsoft.com/office/drawing/2010/main" val="0"/>
                        </a:ext>
                      </a:extLst>
                    </a:blip>
                    <a:srcRect b="5597"/>
                    <a:stretch/>
                  </pic:blipFill>
                  <pic:spPr bwMode="auto">
                    <a:xfrm>
                      <a:off x="0" y="0"/>
                      <a:ext cx="3595158" cy="1718728"/>
                    </a:xfrm>
                    <a:prstGeom prst="rect">
                      <a:avLst/>
                    </a:prstGeom>
                    <a:ln>
                      <a:solidFill>
                        <a:srgbClr val="92D050"/>
                      </a:solidFill>
                    </a:ln>
                    <a:extLst>
                      <a:ext uri="{53640926-AAD7-44D8-BBD7-CCE9431645EC}">
                        <a14:shadowObscured xmlns:a14="http://schemas.microsoft.com/office/drawing/2010/main"/>
                      </a:ext>
                    </a:extLst>
                  </pic:spPr>
                </pic:pic>
              </a:graphicData>
            </a:graphic>
          </wp:inline>
        </w:drawing>
      </w:r>
    </w:p>
    <w:p w14:paraId="01012971" w14:textId="77777777" w:rsidR="0093365D" w:rsidRDefault="0093365D" w:rsidP="0070601B">
      <w:pPr>
        <w:keepNext/>
        <w:keepLines/>
        <w:spacing w:before="0" w:after="0" w:line="240" w:lineRule="auto"/>
        <w:outlineLvl w:val="1"/>
        <w:rPr>
          <w:rFonts w:ascii="Franklin Gothic Demi Cond" w:eastAsia="Yu Gothic Light" w:hAnsi="Franklin Gothic Demi Cond" w:cs="Times New Roman"/>
          <w:bCs w:val="0"/>
        </w:rPr>
      </w:pPr>
    </w:p>
    <w:p w14:paraId="633FC58B" w14:textId="77777777" w:rsidR="005E0380" w:rsidRDefault="0070601B" w:rsidP="005E0380">
      <w:pPr>
        <w:pStyle w:val="Heading1"/>
        <w:rPr>
          <w:rFonts w:eastAsia="Yu Gothic Light"/>
          <w:color w:val="2F5496"/>
        </w:rPr>
      </w:pPr>
      <w:r w:rsidRPr="0070601B">
        <w:rPr>
          <w:rFonts w:eastAsia="Yu Gothic Light"/>
        </w:rPr>
        <w:t>Proportionate Share Expenditure</w:t>
      </w:r>
      <w:r w:rsidRPr="0070601B">
        <w:rPr>
          <w:rFonts w:eastAsia="Yu Gothic Light"/>
          <w:color w:val="2F5496"/>
        </w:rPr>
        <w:t xml:space="preserve"> </w:t>
      </w:r>
    </w:p>
    <w:p w14:paraId="5969F362" w14:textId="440A893D" w:rsidR="0070601B" w:rsidRPr="0070601B" w:rsidRDefault="0070601B" w:rsidP="005E0380">
      <w:pPr>
        <w:rPr>
          <w:rFonts w:eastAsia="Yu Gothic Light" w:cs="Times New Roman"/>
        </w:rPr>
      </w:pPr>
      <w:r w:rsidRPr="0070601B">
        <w:rPr>
          <w:rFonts w:eastAsia="Yu Gothic Light" w:cs="Times New Roman"/>
        </w:rPr>
        <w:t>[</w:t>
      </w:r>
      <w:hyperlink r:id="rId28" w:anchor="se34.2.300_1138" w:history="1">
        <w:r w:rsidRPr="0070601B">
          <w:rPr>
            <w:rFonts w:eastAsia="Yu Gothic Light" w:cs="Times New Roman"/>
            <w:color w:val="0000FF"/>
            <w:u w:val="single"/>
          </w:rPr>
          <w:t>34 CFR §300.138</w:t>
        </w:r>
      </w:hyperlink>
      <w:r w:rsidRPr="0070601B">
        <w:rPr>
          <w:rFonts w:eastAsia="Yu Gothic Light" w:cs="Times New Roman"/>
        </w:rPr>
        <w:t>] and [</w:t>
      </w:r>
      <w:hyperlink r:id="rId29" w:anchor="page=163" w:history="1">
        <w:r w:rsidRPr="0070601B">
          <w:rPr>
            <w:rFonts w:eastAsia="Yu Gothic Light" w:cs="Times New Roman"/>
            <w:color w:val="0000FF"/>
            <w:u w:val="single"/>
          </w:rPr>
          <w:t>SBE Rule 2368.1.7.1</w:t>
        </w:r>
      </w:hyperlink>
      <w:r w:rsidRPr="0070601B">
        <w:rPr>
          <w:rFonts w:eastAsia="Yu Gothic Light" w:cs="Times New Roman"/>
        </w:rPr>
        <w:t>]</w:t>
      </w:r>
    </w:p>
    <w:p w14:paraId="50AADE60" w14:textId="77777777" w:rsidR="0070601B" w:rsidRPr="0070601B" w:rsidRDefault="0070601B" w:rsidP="005E0380">
      <w:pPr>
        <w:rPr>
          <w:rFonts w:ascii="Franklin Gothic Demi Cond" w:hAnsi="Franklin Gothic Demi Cond" w:cs="Times New Roman"/>
        </w:rPr>
      </w:pPr>
      <w:r w:rsidRPr="0070601B">
        <w:rPr>
          <w:rFonts w:cs="Times New Roman"/>
        </w:rPr>
        <w:t>Each LEA determines which services to provide following the consultation with representatives of the non-profit non-public schools and parent representatives of eligible non-profit non-public school and/or home-schooled students. IDEA allowability rules apply to proportionate share funds. Administrative services and Child Find expenditures are not allowable as proportionate share expenditures. Each LEA must document expenditures and other activities related to IDEA and proportionate share.</w:t>
      </w:r>
    </w:p>
    <w:p w14:paraId="1713983C" w14:textId="77777777" w:rsidR="0093365D" w:rsidRDefault="0093365D" w:rsidP="005E0380">
      <w:pPr>
        <w:rPr>
          <w:rFonts w:ascii="Franklin Gothic Demi Cond" w:eastAsia="Yu Gothic Light" w:hAnsi="Franklin Gothic Demi Cond" w:cs="Times New Roman"/>
        </w:rPr>
      </w:pPr>
    </w:p>
    <w:p w14:paraId="2E4BA680" w14:textId="77777777" w:rsidR="005E0380" w:rsidRDefault="0070601B" w:rsidP="005E0380">
      <w:pPr>
        <w:pStyle w:val="Heading1"/>
        <w:rPr>
          <w:rFonts w:eastAsia="Yu Gothic Light"/>
        </w:rPr>
      </w:pPr>
      <w:r w:rsidRPr="0070601B">
        <w:rPr>
          <w:rFonts w:eastAsia="Yu Gothic Light"/>
        </w:rPr>
        <w:t xml:space="preserve">Development of Services Plans </w:t>
      </w:r>
    </w:p>
    <w:p w14:paraId="4621F8AB" w14:textId="0F7C4ABB" w:rsidR="0070601B" w:rsidRPr="0070601B" w:rsidRDefault="0070601B" w:rsidP="005E0380">
      <w:pPr>
        <w:rPr>
          <w:rFonts w:eastAsia="Yu Gothic Light" w:cs="Times New Roman"/>
        </w:rPr>
      </w:pPr>
      <w:r w:rsidRPr="0070601B">
        <w:rPr>
          <w:rFonts w:eastAsia="Yu Gothic Light" w:cs="Times New Roman"/>
        </w:rPr>
        <w:t>[</w:t>
      </w:r>
      <w:hyperlink r:id="rId30" w:anchor="se34.2.300_1138" w:history="1">
        <w:r w:rsidRPr="0070601B">
          <w:rPr>
            <w:rFonts w:eastAsia="Yu Gothic Light" w:cs="Times New Roman"/>
            <w:color w:val="0000FF"/>
            <w:u w:val="single"/>
          </w:rPr>
          <w:t>34 CFR §300.138</w:t>
        </w:r>
      </w:hyperlink>
      <w:r w:rsidRPr="0070601B">
        <w:rPr>
          <w:rFonts w:eastAsia="Yu Gothic Light" w:cs="Times New Roman"/>
        </w:rPr>
        <w:t>] and [</w:t>
      </w:r>
      <w:hyperlink r:id="rId31" w:anchor="page=162" w:history="1">
        <w:r w:rsidRPr="0070601B">
          <w:rPr>
            <w:rFonts w:eastAsia="Yu Gothic Light" w:cs="Times New Roman"/>
            <w:color w:val="0000FF"/>
            <w:u w:val="single"/>
          </w:rPr>
          <w:t>SBE Rule 2368.1.6</w:t>
        </w:r>
      </w:hyperlink>
      <w:r w:rsidRPr="0070601B">
        <w:rPr>
          <w:rFonts w:eastAsia="Yu Gothic Light" w:cs="Times New Roman"/>
        </w:rPr>
        <w:t>]</w:t>
      </w:r>
    </w:p>
    <w:p w14:paraId="204D9243" w14:textId="36A32153" w:rsidR="0070601B" w:rsidRPr="0070601B" w:rsidRDefault="0070601B" w:rsidP="005E0380">
      <w:pPr>
        <w:rPr>
          <w:rFonts w:cs="Times New Roman"/>
        </w:rPr>
      </w:pPr>
      <w:r w:rsidRPr="0070601B">
        <w:rPr>
          <w:rFonts w:cs="Times New Roman"/>
        </w:rPr>
        <w:t xml:space="preserve">Each LEA is responsible for ensuring that each </w:t>
      </w:r>
      <w:proofErr w:type="gramStart"/>
      <w:r w:rsidRPr="0070601B">
        <w:rPr>
          <w:rFonts w:cs="Times New Roman"/>
        </w:rPr>
        <w:t>parentally-placed</w:t>
      </w:r>
      <w:proofErr w:type="gramEnd"/>
      <w:r w:rsidRPr="0070601B">
        <w:rPr>
          <w:rFonts w:cs="Times New Roman"/>
        </w:rPr>
        <w:t xml:space="preserve"> non-profit non-public school student with a disability who has been designated to receive proportionate share services has a services plan describing the specific special education services that each LEA will provide, including where and when the district will provide services to the student. A services plan is developed once a student is found eligible for special education and related services. </w:t>
      </w:r>
      <w:r w:rsidR="008B5271">
        <w:rPr>
          <w:rFonts w:cs="Times New Roman"/>
        </w:rPr>
        <w:t>See f</w:t>
      </w:r>
      <w:r w:rsidRPr="0070601B">
        <w:rPr>
          <w:rFonts w:cs="Times New Roman"/>
        </w:rPr>
        <w:t>orm 10a – Services Plan</w:t>
      </w:r>
      <w:r w:rsidR="008B5271">
        <w:rPr>
          <w:rFonts w:cs="Times New Roman"/>
        </w:rPr>
        <w:t>.</w:t>
      </w:r>
    </w:p>
    <w:p w14:paraId="2BF95493" w14:textId="77777777" w:rsidR="0093365D" w:rsidRDefault="0093365D" w:rsidP="0070601B">
      <w:pPr>
        <w:keepNext/>
        <w:keepLines/>
        <w:spacing w:before="0" w:after="0" w:line="240" w:lineRule="auto"/>
        <w:outlineLvl w:val="1"/>
        <w:rPr>
          <w:rFonts w:ascii="Franklin Gothic Demi Cond" w:eastAsia="Yu Gothic Light" w:hAnsi="Franklin Gothic Demi Cond" w:cs="Times New Roman"/>
          <w:bCs w:val="0"/>
        </w:rPr>
      </w:pPr>
    </w:p>
    <w:p w14:paraId="660E9750" w14:textId="77777777" w:rsidR="008B5271" w:rsidRDefault="0070601B" w:rsidP="008B5271">
      <w:pPr>
        <w:pStyle w:val="Heading1"/>
        <w:rPr>
          <w:rFonts w:eastAsia="Yu Gothic Light"/>
        </w:rPr>
      </w:pPr>
      <w:r w:rsidRPr="0070601B">
        <w:rPr>
          <w:rFonts w:eastAsia="Yu Gothic Light"/>
        </w:rPr>
        <w:t xml:space="preserve">Providing or Contracting for Services </w:t>
      </w:r>
    </w:p>
    <w:p w14:paraId="5AF0DB85" w14:textId="27543F56" w:rsidR="0070601B" w:rsidRPr="0070601B" w:rsidRDefault="0070601B" w:rsidP="008B5271">
      <w:pPr>
        <w:rPr>
          <w:rFonts w:eastAsia="Yu Gothic Light" w:cs="Times New Roman"/>
          <w:color w:val="2F5496"/>
        </w:rPr>
      </w:pPr>
      <w:r w:rsidRPr="0070601B">
        <w:rPr>
          <w:rFonts w:eastAsia="Yu Gothic Light" w:cs="Times New Roman"/>
        </w:rPr>
        <w:t>[</w:t>
      </w:r>
      <w:hyperlink r:id="rId32" w:anchor="se34.2.300_1141" w:history="1">
        <w:r w:rsidRPr="0070601B">
          <w:rPr>
            <w:rFonts w:eastAsia="Yu Gothic Light" w:cs="Times New Roman"/>
            <w:color w:val="0000FF"/>
            <w:u w:val="single"/>
          </w:rPr>
          <w:t>34 CFR §300.141</w:t>
        </w:r>
      </w:hyperlink>
      <w:r w:rsidRPr="0070601B">
        <w:rPr>
          <w:rFonts w:eastAsia="Yu Gothic Light" w:cs="Times New Roman"/>
        </w:rPr>
        <w:t>] and [</w:t>
      </w:r>
      <w:hyperlink r:id="rId33" w:anchor="page=165" w:history="1">
        <w:r w:rsidRPr="0070601B">
          <w:rPr>
            <w:rFonts w:eastAsia="Yu Gothic Light" w:cs="Times New Roman"/>
            <w:color w:val="0000FF"/>
            <w:u w:val="single"/>
          </w:rPr>
          <w:t>SBE Rule 2368.1.9</w:t>
        </w:r>
      </w:hyperlink>
      <w:r w:rsidRPr="0070601B">
        <w:rPr>
          <w:rFonts w:eastAsia="Yu Gothic Light" w:cs="Times New Roman"/>
        </w:rPr>
        <w:t xml:space="preserve">] </w:t>
      </w:r>
    </w:p>
    <w:p w14:paraId="65226C95" w14:textId="77777777" w:rsidR="0070601B" w:rsidRPr="0070601B" w:rsidRDefault="0070601B" w:rsidP="008B5271">
      <w:pPr>
        <w:rPr>
          <w:rFonts w:cs="Times New Roman"/>
        </w:rPr>
      </w:pPr>
      <w:r w:rsidRPr="0070601B">
        <w:rPr>
          <w:rFonts w:cs="Times New Roman"/>
        </w:rPr>
        <w:t>In expending federal IDEA Part B funds, each LEA may provide services at the non-profit non-public school, at a public or neutral site convenient to the non-profit non-public school, on public school grounds, or contract for the provision of services at an appropriate site. IDEA funds may not be paid directly to the non-profit non-public school and may not be used to meet general needs of students.</w:t>
      </w:r>
    </w:p>
    <w:p w14:paraId="69FD2C8C" w14:textId="77777777" w:rsidR="0093365D" w:rsidRDefault="0093365D" w:rsidP="008B5271">
      <w:pPr>
        <w:rPr>
          <w:rFonts w:ascii="Franklin Gothic Demi Cond" w:eastAsia="Yu Gothic Light" w:hAnsi="Franklin Gothic Demi Cond" w:cs="Times New Roman"/>
        </w:rPr>
      </w:pPr>
    </w:p>
    <w:p w14:paraId="0F4E86C3" w14:textId="77777777" w:rsidR="008B5271" w:rsidRDefault="0070601B" w:rsidP="008B5271">
      <w:pPr>
        <w:pStyle w:val="Heading1"/>
        <w:rPr>
          <w:rFonts w:eastAsia="Yu Gothic Light"/>
        </w:rPr>
      </w:pPr>
      <w:r w:rsidRPr="0070601B">
        <w:rPr>
          <w:rFonts w:eastAsia="Yu Gothic Light"/>
        </w:rPr>
        <w:t xml:space="preserve">Use of Personnel </w:t>
      </w:r>
    </w:p>
    <w:p w14:paraId="74AC8637" w14:textId="66BA2C9E" w:rsidR="0070601B" w:rsidRPr="0070601B" w:rsidRDefault="0070601B" w:rsidP="008B5271">
      <w:pPr>
        <w:rPr>
          <w:rFonts w:eastAsia="Yu Gothic Light" w:cs="Times New Roman"/>
        </w:rPr>
      </w:pPr>
      <w:r w:rsidRPr="0070601B">
        <w:rPr>
          <w:rFonts w:eastAsia="Yu Gothic Light" w:cs="Times New Roman"/>
        </w:rPr>
        <w:t>[</w:t>
      </w:r>
      <w:hyperlink r:id="rId34" w:anchor="se34.2.300_1141" w:history="1">
        <w:r w:rsidRPr="0070601B">
          <w:rPr>
            <w:rFonts w:eastAsia="Yu Gothic Light" w:cs="Times New Roman"/>
            <w:color w:val="0000FF"/>
            <w:u w:val="single"/>
          </w:rPr>
          <w:t>34 CFR §300.142</w:t>
        </w:r>
      </w:hyperlink>
      <w:r w:rsidRPr="0070601B">
        <w:rPr>
          <w:rFonts w:eastAsia="Yu Gothic Light" w:cs="Times New Roman"/>
        </w:rPr>
        <w:t>] and [</w:t>
      </w:r>
      <w:hyperlink r:id="rId35" w:anchor="page=165" w:history="1">
        <w:r w:rsidRPr="0070601B">
          <w:rPr>
            <w:rFonts w:eastAsia="Yu Gothic Light" w:cs="Times New Roman"/>
            <w:color w:val="0000FF"/>
            <w:u w:val="single"/>
          </w:rPr>
          <w:t>SBE Rule 2368.1.10</w:t>
        </w:r>
      </w:hyperlink>
      <w:r w:rsidRPr="0070601B">
        <w:rPr>
          <w:rFonts w:eastAsia="Yu Gothic Light" w:cs="Times New Roman"/>
        </w:rPr>
        <w:t>]</w:t>
      </w:r>
    </w:p>
    <w:p w14:paraId="19A5D003" w14:textId="77777777" w:rsidR="0070601B" w:rsidRPr="0070601B" w:rsidRDefault="0070601B" w:rsidP="008B5271">
      <w:pPr>
        <w:rPr>
          <w:rFonts w:cs="Times New Roman"/>
        </w:rPr>
      </w:pPr>
      <w:r w:rsidRPr="0070601B">
        <w:rPr>
          <w:rFonts w:cs="Times New Roman"/>
        </w:rPr>
        <w:t>Each LEA may use proportionate share funds to pay public school personnel to provide services in non-profit non-public schools. Each LEA may use proportionate share funds to pay for the services of an employee of a non-profit non-public school to provide services under only if the employee performs the services outside of his or her regular hours of duty; and the employee performs the services under public supervision and control.</w:t>
      </w:r>
    </w:p>
    <w:p w14:paraId="73C536D2" w14:textId="77777777" w:rsidR="0093365D" w:rsidRDefault="0093365D" w:rsidP="008B5271">
      <w:pPr>
        <w:rPr>
          <w:rFonts w:ascii="Franklin Gothic Demi Cond" w:eastAsia="Yu Gothic Light" w:hAnsi="Franklin Gothic Demi Cond" w:cs="Times New Roman"/>
        </w:rPr>
      </w:pPr>
    </w:p>
    <w:p w14:paraId="0929C974" w14:textId="360CE9CC" w:rsidR="0070601B" w:rsidRPr="0070601B" w:rsidRDefault="0070601B" w:rsidP="008B5271">
      <w:pPr>
        <w:pStyle w:val="Heading1"/>
        <w:rPr>
          <w:rFonts w:eastAsia="Yu Gothic Light"/>
          <w:bCs/>
          <w:color w:val="2F5496"/>
        </w:rPr>
      </w:pPr>
      <w:r w:rsidRPr="0070601B">
        <w:rPr>
          <w:rFonts w:eastAsia="Yu Gothic Light"/>
        </w:rPr>
        <w:t xml:space="preserve">Electronic Signatures </w:t>
      </w:r>
    </w:p>
    <w:p w14:paraId="232209C2" w14:textId="77777777" w:rsidR="0070601B" w:rsidRPr="0070601B" w:rsidRDefault="0070601B" w:rsidP="008B5271">
      <w:r w:rsidRPr="0070601B">
        <w:t xml:space="preserve">LEAs may use e-signature software for acceptable valid signatures on all forms. </w:t>
      </w:r>
    </w:p>
    <w:p w14:paraId="6BDD2E2B" w14:textId="77777777" w:rsidR="0070601B" w:rsidRPr="0070601B" w:rsidRDefault="0070601B" w:rsidP="0070601B">
      <w:pPr>
        <w:spacing w:before="0" w:after="0" w:line="240" w:lineRule="auto"/>
        <w:ind w:left="720"/>
        <w:rPr>
          <w:rFonts w:ascii="Franklin Gothic Demi" w:eastAsia="Yu Gothic Light" w:hAnsi="Franklin Gothic Demi" w:cs="Times New Roman"/>
          <w:sz w:val="32"/>
          <w:szCs w:val="32"/>
        </w:rPr>
      </w:pPr>
      <w:r w:rsidRPr="0070601B">
        <w:rPr>
          <w:rFonts w:ascii="Franklin Gothic Demi" w:hAnsi="Franklin Gothic Demi" w:cs="Times New Roman"/>
          <w:sz w:val="24"/>
          <w:szCs w:val="24"/>
        </w:rPr>
        <w:br w:type="page"/>
      </w:r>
    </w:p>
    <w:p w14:paraId="0C8920B7" w14:textId="77777777" w:rsidR="00067DD9" w:rsidRPr="0038621E" w:rsidRDefault="00067DD9" w:rsidP="008B5271">
      <w:pPr>
        <w:pStyle w:val="Title"/>
      </w:pPr>
      <w:r w:rsidRPr="009E19BE">
        <w:lastRenderedPageBreak/>
        <w:t xml:space="preserve">Form </w:t>
      </w:r>
      <w:r>
        <w:t xml:space="preserve">#10 </w:t>
      </w:r>
      <w:r w:rsidRPr="00F017D6">
        <w:t>-</w:t>
      </w:r>
      <w:r w:rsidRPr="008F2525">
        <w:rPr>
          <w:rFonts w:ascii="Franklin Gothic Medium" w:eastAsiaTheme="minorHAnsi" w:hAnsi="Franklin Gothic Medium" w:cstheme="minorBidi"/>
          <w:sz w:val="32"/>
        </w:rPr>
        <w:t xml:space="preserve"> </w:t>
      </w:r>
      <w:r w:rsidRPr="009D213C">
        <w:t>Written Affirmation Statement</w:t>
      </w:r>
    </w:p>
    <w:p w14:paraId="7D384BA7" w14:textId="7641AFC4" w:rsidR="00067DD9" w:rsidRPr="00683F21" w:rsidRDefault="00067DD9" w:rsidP="008B5271">
      <w:pPr>
        <w:pStyle w:val="Heading1"/>
        <w:rPr>
          <w:bCs/>
        </w:rPr>
      </w:pPr>
      <w:r w:rsidRPr="00683F21">
        <w:t xml:space="preserve">Written Affirmation of Consultation with Non-public School and Home Study Representatives concerning Special Education Services </w:t>
      </w:r>
    </w:p>
    <w:p w14:paraId="7223D160" w14:textId="2EFE4518" w:rsidR="00067DD9" w:rsidRDefault="00067DD9" w:rsidP="00522250">
      <w:r w:rsidRPr="00683F21">
        <w:t xml:space="preserve">I hereby affirm that I was invited to and participated in the non-public school consultation meeting sponsored by the </w:t>
      </w:r>
      <w:r>
        <w:t>_____</w:t>
      </w:r>
      <w:r w:rsidR="00B30F1B">
        <w:rPr>
          <w:u w:val="single"/>
        </w:rPr>
        <w:t>________________</w:t>
      </w:r>
      <w:r>
        <w:rPr>
          <w:u w:val="single"/>
        </w:rPr>
        <w:t>_____</w:t>
      </w:r>
      <w:r w:rsidRPr="00683F21">
        <w:t xml:space="preserve"> held on </w:t>
      </w:r>
      <w:r w:rsidR="00522250">
        <w:t>_____/______/_____</w:t>
      </w:r>
      <w:r w:rsidRPr="00683F21">
        <w:t xml:space="preserve"> in accordance with the requirements of the Individuals with Disabilities Education Act (IDEA). </w:t>
      </w:r>
    </w:p>
    <w:p w14:paraId="632456F8" w14:textId="77777777" w:rsidR="00067DD9" w:rsidRDefault="00067DD9" w:rsidP="00522250">
      <w:r w:rsidRPr="00683F21">
        <w:t>[</w:t>
      </w:r>
      <w:hyperlink r:id="rId36" w:anchor="se34.2.300_1134" w:history="1">
        <w:r w:rsidRPr="00683F21">
          <w:rPr>
            <w:color w:val="0000FF"/>
            <w:u w:val="single"/>
          </w:rPr>
          <w:t>34 CFR §300.134</w:t>
        </w:r>
      </w:hyperlink>
      <w:r w:rsidRPr="00683F21">
        <w:t>] and [</w:t>
      </w:r>
      <w:hyperlink r:id="rId37" w:anchor="page=160" w:history="1">
        <w:r w:rsidRPr="00683F21">
          <w:rPr>
            <w:color w:val="0000FF"/>
            <w:u w:val="single"/>
          </w:rPr>
          <w:t>SBE Rules 2368.1.5.1</w:t>
        </w:r>
        <w:r w:rsidRPr="00683F21">
          <w:t xml:space="preserve"> and </w:t>
        </w:r>
        <w:r w:rsidRPr="00683F21">
          <w:rPr>
            <w:color w:val="0000FF"/>
            <w:u w:val="single"/>
          </w:rPr>
          <w:t>2368.1.5.2</w:t>
        </w:r>
      </w:hyperlink>
      <w:r w:rsidRPr="00683F21">
        <w:t>]</w:t>
      </w:r>
    </w:p>
    <w:p w14:paraId="40B31E64" w14:textId="77777777" w:rsidR="00067DD9" w:rsidRPr="00683F21" w:rsidRDefault="00067DD9" w:rsidP="00522250">
      <w:proofErr w:type="gramStart"/>
      <w:r w:rsidRPr="00683F21">
        <w:t>During the course of</w:t>
      </w:r>
      <w:proofErr w:type="gramEnd"/>
      <w:r w:rsidRPr="00683F21">
        <w:t xml:space="preserve"> the consultation, the following issues were discussed: </w:t>
      </w:r>
    </w:p>
    <w:p w14:paraId="32A1A889" w14:textId="6E9F5F8A" w:rsidR="00067DD9" w:rsidRPr="00683F21" w:rsidRDefault="00067DD9" w:rsidP="008B5271">
      <w:pPr>
        <w:pStyle w:val="AOENumberedList"/>
        <w:numPr>
          <w:ilvl w:val="0"/>
          <w:numId w:val="40"/>
        </w:numPr>
      </w:pPr>
      <w:r w:rsidRPr="00683F21">
        <w:t xml:space="preserve">The </w:t>
      </w:r>
      <w:r w:rsidR="00B30F1B">
        <w:t>c</w:t>
      </w:r>
      <w:r w:rsidRPr="00683F21">
        <w:t xml:space="preserve">hild </w:t>
      </w:r>
      <w:r w:rsidR="00B30F1B">
        <w:t>f</w:t>
      </w:r>
      <w:r w:rsidRPr="00683F21">
        <w:t xml:space="preserve">ind process and how </w:t>
      </w:r>
      <w:proofErr w:type="gramStart"/>
      <w:r w:rsidRPr="00683F21">
        <w:t>parentally-placed</w:t>
      </w:r>
      <w:proofErr w:type="gramEnd"/>
      <w:r w:rsidRPr="00683F21">
        <w:t xml:space="preserve"> students who are non-publicly educated and suspected of having a disability can participate equitably, including how parents, teachers, and non-public school officials will be informed of the process by LEA; </w:t>
      </w:r>
    </w:p>
    <w:p w14:paraId="7ECB712C" w14:textId="77777777" w:rsidR="00067DD9" w:rsidRPr="00683F21" w:rsidRDefault="00067DD9" w:rsidP="008B5271">
      <w:pPr>
        <w:pStyle w:val="AOENumberedList"/>
      </w:pPr>
      <w:r w:rsidRPr="00683F21">
        <w:t xml:space="preserve">The determination of the proportionate amount of federal funds available to serve </w:t>
      </w:r>
      <w:proofErr w:type="gramStart"/>
      <w:r w:rsidRPr="00683F21">
        <w:t>parentally-placed</w:t>
      </w:r>
      <w:proofErr w:type="gramEnd"/>
      <w:r w:rsidRPr="00683F21">
        <w:t xml:space="preserve"> non-public school students with disabilities under this paragraph, including the determination of how the amount was calculated and allocated by LEA; </w:t>
      </w:r>
    </w:p>
    <w:p w14:paraId="5DC1AA48" w14:textId="77777777" w:rsidR="00067DD9" w:rsidRPr="00683F21" w:rsidRDefault="00067DD9" w:rsidP="008B5271">
      <w:pPr>
        <w:pStyle w:val="AOENumberedList"/>
      </w:pPr>
      <w:r w:rsidRPr="00683F21">
        <w:t xml:space="preserve">The consultation process among the LEA, non-public school officials, and representatives of parents of </w:t>
      </w:r>
      <w:proofErr w:type="gramStart"/>
      <w:r w:rsidRPr="00683F21">
        <w:t>parentally-placed</w:t>
      </w:r>
      <w:proofErr w:type="gramEnd"/>
      <w:r w:rsidRPr="00683F21">
        <w:t xml:space="preserve"> students with disabilities who are non-publicly educated, including how such process will operate throughout the school year to ensure that parentally placed-non-public school students with disabilities identified through Child Find can meaningfully participate in special education and related services; </w:t>
      </w:r>
    </w:p>
    <w:p w14:paraId="69AE6B63" w14:textId="77777777" w:rsidR="00067DD9" w:rsidRPr="00683F21" w:rsidRDefault="00067DD9" w:rsidP="008B5271">
      <w:pPr>
        <w:pStyle w:val="AOENumberedList"/>
      </w:pPr>
      <w:r w:rsidRPr="00683F21">
        <w:t xml:space="preserve">How, where, and by whom special education and related services will be provided for </w:t>
      </w:r>
      <w:proofErr w:type="gramStart"/>
      <w:r w:rsidRPr="00683F21">
        <w:t>parentally-placed</w:t>
      </w:r>
      <w:proofErr w:type="gramEnd"/>
      <w:r w:rsidRPr="00683F21">
        <w:t xml:space="preserve"> students with disabilities who are non-publicly educated, including a discussion of types of services and how and when these decisions will be made, including direct services and alternate service delivery mechanisms; </w:t>
      </w:r>
    </w:p>
    <w:p w14:paraId="635AAFFF" w14:textId="77777777" w:rsidR="00067DD9" w:rsidRPr="00683F21" w:rsidRDefault="00067DD9" w:rsidP="008B5271">
      <w:pPr>
        <w:pStyle w:val="AOENumberedList"/>
      </w:pPr>
      <w:r w:rsidRPr="00683F21">
        <w:t xml:space="preserve">How such services will be apportioned if funds are insufficient to serve all children, and how and when these decisions will be made; and </w:t>
      </w:r>
    </w:p>
    <w:p w14:paraId="291EAD38" w14:textId="77777777" w:rsidR="00067DD9" w:rsidRPr="00683F21" w:rsidRDefault="00067DD9" w:rsidP="008B5271">
      <w:pPr>
        <w:pStyle w:val="AOENumberedList"/>
      </w:pPr>
      <w:r w:rsidRPr="00683F21">
        <w:t xml:space="preserve">Process for LEA disagreement with the views of the non-public school officials on the provision of services or the types of services, whether provided directly or through a contract, the LEA shall provide to the non-public school officials a written explanation of the reasons why the school district chose not to provide services directly or through a contract. </w:t>
      </w:r>
    </w:p>
    <w:p w14:paraId="175BBF74" w14:textId="07794BAA" w:rsidR="00067DD9" w:rsidRDefault="00067DD9" w:rsidP="00522250">
      <w:r w:rsidRPr="00683F21">
        <w:t>As a non-public school representative or home study parent representative, I was provided the opportunity to express my views and to ask questions of LEA pertaining to these issues. I understand that if I believe that the consultation was not meaningful, or that my views and those of others were not given due consideration by the school district, I may file a State complaint with the Vermont Agency of Education (AOE) that identifies the area(s) in which I believe the school district did not comply with the consultation process</w:t>
      </w:r>
      <w:r w:rsidR="00D24242" w:rsidRPr="00683F21">
        <w:t xml:space="preserve">. </w:t>
      </w:r>
    </w:p>
    <w:p w14:paraId="35CC7758" w14:textId="77777777" w:rsidR="00067DD9" w:rsidRPr="00683F21" w:rsidRDefault="00067DD9" w:rsidP="00522250">
      <w:r w:rsidRPr="00683F21">
        <w:t>[</w:t>
      </w:r>
      <w:hyperlink r:id="rId38" w:anchor="se34.2.300_1136" w:history="1">
        <w:r w:rsidRPr="00683F21">
          <w:rPr>
            <w:color w:val="0000FF"/>
            <w:u w:val="single"/>
          </w:rPr>
          <w:t>34 CFR §300.136</w:t>
        </w:r>
      </w:hyperlink>
      <w:r w:rsidRPr="00683F21">
        <w:t>] and [</w:t>
      </w:r>
      <w:hyperlink r:id="rId39" w:anchor="page=162" w:history="1">
        <w:r w:rsidRPr="00683F21">
          <w:rPr>
            <w:color w:val="0000FF"/>
            <w:u w:val="single"/>
          </w:rPr>
          <w:t>SBE Rule 2368.1.5.3</w:t>
        </w:r>
      </w:hyperlink>
      <w:r w:rsidRPr="00683F21">
        <w:t>]</w:t>
      </w:r>
    </w:p>
    <w:p w14:paraId="000B3946" w14:textId="0596F2EE" w:rsidR="00067DD9" w:rsidRDefault="00067DD9" w:rsidP="00067DD9">
      <w:pPr>
        <w:spacing w:before="0" w:after="0" w:line="240" w:lineRule="auto"/>
        <w:contextualSpacing/>
        <w:rPr>
          <w:rFonts w:cs="Times New Roman"/>
          <w:bCs w:val="0"/>
        </w:rPr>
      </w:pPr>
    </w:p>
    <w:p w14:paraId="0AF2385B" w14:textId="0968AEC3" w:rsidR="00067DD9" w:rsidRDefault="00067DD9" w:rsidP="00067DD9">
      <w:pPr>
        <w:spacing w:before="0" w:after="0" w:line="240" w:lineRule="auto"/>
        <w:contextualSpacing/>
        <w:rPr>
          <w:rFonts w:cs="Times New Roman"/>
          <w:bCs w:val="0"/>
        </w:rPr>
      </w:pPr>
    </w:p>
    <w:p w14:paraId="7A82F7C8" w14:textId="77777777" w:rsidR="00B30F1B" w:rsidRDefault="00B30F1B" w:rsidP="00067DD9">
      <w:pPr>
        <w:spacing w:before="0" w:after="0" w:line="240" w:lineRule="auto"/>
        <w:contextualSpacing/>
        <w:rPr>
          <w:rFonts w:cs="Times New Roman"/>
          <w:bCs w:val="0"/>
        </w:rPr>
      </w:pPr>
    </w:p>
    <w:p w14:paraId="04899385" w14:textId="77777777" w:rsidR="00B30F1B" w:rsidRDefault="00B30F1B" w:rsidP="00067DD9">
      <w:pPr>
        <w:spacing w:before="0" w:after="0" w:line="240" w:lineRule="auto"/>
        <w:contextualSpacing/>
        <w:rPr>
          <w:rFonts w:cs="Times New Roman"/>
          <w:bCs w:val="0"/>
        </w:rPr>
      </w:pPr>
    </w:p>
    <w:p w14:paraId="49A0DEC9" w14:textId="77777777" w:rsidR="00067DD9" w:rsidRPr="00683F21" w:rsidRDefault="00067DD9" w:rsidP="00522250">
      <w:r w:rsidRPr="00683F21">
        <w:lastRenderedPageBreak/>
        <w:t>Please provide the following information as applicable:</w:t>
      </w:r>
    </w:p>
    <w:p w14:paraId="3B8FB33E" w14:textId="77777777" w:rsidR="00067DD9" w:rsidRPr="00683F21" w:rsidRDefault="00067DD9" w:rsidP="00522250"/>
    <w:p w14:paraId="12DC1A0F" w14:textId="77777777" w:rsidR="00067DD9" w:rsidRPr="00683F21" w:rsidRDefault="00067DD9" w:rsidP="00522250">
      <w:r w:rsidRPr="00683F21">
        <w:t>Name of Non-public School</w:t>
      </w:r>
      <w:r>
        <w:t>:</w:t>
      </w:r>
      <w:r w:rsidRPr="00683F21">
        <w:t xml:space="preserve"> ___________________________________________________________</w:t>
      </w:r>
    </w:p>
    <w:p w14:paraId="20E05E55" w14:textId="77777777" w:rsidR="00067DD9" w:rsidRDefault="00067DD9" w:rsidP="00522250"/>
    <w:p w14:paraId="5A8FB526" w14:textId="77777777" w:rsidR="00067DD9" w:rsidRDefault="00067DD9" w:rsidP="00522250">
      <w:r w:rsidRPr="00683F21">
        <w:t>Name of Non-public School Official</w:t>
      </w:r>
      <w:r>
        <w:t>:</w:t>
      </w:r>
      <w:r w:rsidRPr="00683F21">
        <w:t xml:space="preserve"> ____________________________________________________</w:t>
      </w:r>
    </w:p>
    <w:p w14:paraId="56255D94" w14:textId="77777777" w:rsidR="00067DD9" w:rsidRPr="00683F21" w:rsidRDefault="00067DD9" w:rsidP="00522250"/>
    <w:p w14:paraId="7283CA62" w14:textId="5A69D760" w:rsidR="00067DD9" w:rsidRPr="00683F21" w:rsidRDefault="00067DD9" w:rsidP="00522250">
      <w:r w:rsidRPr="00683F21">
        <w:t>Signature of Non-public School Official</w:t>
      </w:r>
      <w:r>
        <w:t>:</w:t>
      </w:r>
      <w:r w:rsidR="0048222E">
        <w:t xml:space="preserve"> </w:t>
      </w:r>
      <w:r w:rsidRPr="00683F21">
        <w:t>________________________________</w:t>
      </w:r>
      <w:r>
        <w:t xml:space="preserve"> D</w:t>
      </w:r>
      <w:r w:rsidRPr="00683F21">
        <w:t>ate</w:t>
      </w:r>
      <w:r>
        <w:t>:</w:t>
      </w:r>
      <w:r w:rsidR="00372496">
        <w:t xml:space="preserve"> </w:t>
      </w:r>
      <w:r w:rsidRPr="00683F21">
        <w:t>___________</w:t>
      </w:r>
    </w:p>
    <w:p w14:paraId="44F806B7" w14:textId="77777777" w:rsidR="00067DD9" w:rsidRDefault="00067DD9" w:rsidP="00522250"/>
    <w:p w14:paraId="7A2670B8" w14:textId="77777777" w:rsidR="00067DD9" w:rsidRDefault="00067DD9" w:rsidP="00522250"/>
    <w:p w14:paraId="2FBF45AB" w14:textId="0197AB08" w:rsidR="00067DD9" w:rsidRPr="00683F21" w:rsidRDefault="00067DD9" w:rsidP="00522250">
      <w:r w:rsidRPr="00683F21">
        <w:t>Name of Non-public School Parent Representative</w:t>
      </w:r>
      <w:r>
        <w:t>:</w:t>
      </w:r>
      <w:r w:rsidR="00372496">
        <w:t xml:space="preserve"> </w:t>
      </w:r>
      <w:r w:rsidRPr="00683F21">
        <w:t>_______________________________________</w:t>
      </w:r>
    </w:p>
    <w:p w14:paraId="57E090A7" w14:textId="77777777" w:rsidR="00067DD9" w:rsidRDefault="00067DD9" w:rsidP="00522250"/>
    <w:p w14:paraId="5D1A4735" w14:textId="3288F726" w:rsidR="00067DD9" w:rsidRPr="00683F21" w:rsidRDefault="00067DD9" w:rsidP="00522250">
      <w:r w:rsidRPr="00683F21">
        <w:t>Signature of Non-public School Parent Representative</w:t>
      </w:r>
      <w:r>
        <w:t>:</w:t>
      </w:r>
      <w:r w:rsidR="00372496">
        <w:t xml:space="preserve"> </w:t>
      </w:r>
      <w:r w:rsidRPr="00683F21">
        <w:t>___________________</w:t>
      </w:r>
      <w:r>
        <w:t xml:space="preserve"> </w:t>
      </w:r>
      <w:r w:rsidRPr="00683F21">
        <w:t>Date</w:t>
      </w:r>
      <w:r>
        <w:t>:</w:t>
      </w:r>
      <w:r w:rsidR="00372496">
        <w:t xml:space="preserve"> </w:t>
      </w:r>
      <w:r>
        <w:t>___________</w:t>
      </w:r>
    </w:p>
    <w:p w14:paraId="542AB5B6" w14:textId="77777777" w:rsidR="00067DD9" w:rsidRDefault="00067DD9" w:rsidP="00522250"/>
    <w:p w14:paraId="0589F1D2" w14:textId="77777777" w:rsidR="00067DD9" w:rsidRDefault="00067DD9" w:rsidP="00522250"/>
    <w:p w14:paraId="180EAB95" w14:textId="77777777" w:rsidR="00067DD9" w:rsidRPr="00683F21" w:rsidRDefault="00067DD9" w:rsidP="00522250">
      <w:r w:rsidRPr="00683F21">
        <w:t>Name of Home Study Representative</w:t>
      </w:r>
      <w:r>
        <w:t>:</w:t>
      </w:r>
      <w:r w:rsidRPr="00683F21">
        <w:t xml:space="preserve"> ___________________________________________________</w:t>
      </w:r>
    </w:p>
    <w:p w14:paraId="05D91FA4" w14:textId="77777777" w:rsidR="00067DD9" w:rsidRDefault="00067DD9" w:rsidP="00522250"/>
    <w:p w14:paraId="759F8601" w14:textId="1A5EDD45" w:rsidR="00067DD9" w:rsidRPr="00683F21" w:rsidRDefault="00067DD9" w:rsidP="00522250">
      <w:r w:rsidRPr="00683F21">
        <w:t>Signature of Home Study Representative</w:t>
      </w:r>
      <w:r>
        <w:t>:</w:t>
      </w:r>
      <w:r w:rsidR="00372496">
        <w:t xml:space="preserve"> </w:t>
      </w:r>
      <w:r w:rsidRPr="00683F21">
        <w:t>_______________________________</w:t>
      </w:r>
      <w:r>
        <w:t xml:space="preserve">_ </w:t>
      </w:r>
      <w:r w:rsidRPr="00683F21">
        <w:t>Date</w:t>
      </w:r>
      <w:r>
        <w:t>:</w:t>
      </w:r>
      <w:r w:rsidR="00372496">
        <w:t xml:space="preserve"> </w:t>
      </w:r>
      <w:r>
        <w:t>__________</w:t>
      </w:r>
    </w:p>
    <w:p w14:paraId="513BF26A" w14:textId="77777777" w:rsidR="0070601B" w:rsidRPr="0070601B" w:rsidRDefault="0070601B" w:rsidP="00522250"/>
    <w:p w14:paraId="03CFA347" w14:textId="77777777" w:rsidR="0070601B" w:rsidRPr="0070601B" w:rsidRDefault="0070601B" w:rsidP="00522250">
      <w:r w:rsidRPr="0070601B">
        <w:br w:type="page"/>
      </w:r>
    </w:p>
    <w:p w14:paraId="64DB3109" w14:textId="77777777" w:rsidR="003523A5" w:rsidRPr="00B30F1B" w:rsidRDefault="003523A5" w:rsidP="00B30F1B">
      <w:pPr>
        <w:pStyle w:val="Title"/>
      </w:pPr>
      <w:r w:rsidRPr="00B30F1B">
        <w:lastRenderedPageBreak/>
        <w:t>Form #10a -</w:t>
      </w:r>
      <w:r w:rsidRPr="00B30F1B">
        <w:rPr>
          <w:rFonts w:eastAsiaTheme="minorHAnsi"/>
        </w:rPr>
        <w:t xml:space="preserve"> </w:t>
      </w:r>
      <w:r w:rsidRPr="00B30F1B">
        <w:t>Services Plan for IDEA Proportionate Share</w:t>
      </w:r>
    </w:p>
    <w:p w14:paraId="20D7D864" w14:textId="77777777" w:rsidR="003523A5" w:rsidRPr="00C52E10" w:rsidRDefault="003523A5" w:rsidP="0089256F">
      <w:r w:rsidRPr="00C52E10">
        <w:t>Date: _____________________________</w:t>
      </w:r>
    </w:p>
    <w:p w14:paraId="13954A20" w14:textId="77777777" w:rsidR="003523A5" w:rsidRPr="00C52E10" w:rsidRDefault="003523A5" w:rsidP="0089256F">
      <w:pPr>
        <w:rPr>
          <w:sz w:val="16"/>
          <w:szCs w:val="16"/>
        </w:rPr>
      </w:pPr>
    </w:p>
    <w:p w14:paraId="61496046" w14:textId="415E39A8" w:rsidR="003523A5" w:rsidRPr="00C52E10" w:rsidRDefault="003523A5" w:rsidP="0089256F">
      <w:pPr>
        <w:rPr>
          <w:u w:val="single"/>
        </w:rPr>
      </w:pPr>
      <w:r w:rsidRPr="00C52E10">
        <w:t>Special Education Services Plan for: ____________________________________________________</w:t>
      </w:r>
    </w:p>
    <w:p w14:paraId="56FF558A" w14:textId="77777777" w:rsidR="003523A5" w:rsidRPr="00C52E10" w:rsidRDefault="003523A5" w:rsidP="0089256F">
      <w:pPr>
        <w:rPr>
          <w:sz w:val="16"/>
          <w:szCs w:val="16"/>
        </w:rPr>
      </w:pPr>
    </w:p>
    <w:p w14:paraId="1C816F7E" w14:textId="77777777" w:rsidR="003523A5" w:rsidRPr="00C52E10" w:rsidRDefault="003523A5" w:rsidP="0089256F">
      <w:pPr>
        <w:rPr>
          <w:u w:val="single"/>
        </w:rPr>
      </w:pPr>
      <w:r w:rsidRPr="00C52E10">
        <w:t>Non-Public School Name (if applicable): ________________________________________________</w:t>
      </w:r>
    </w:p>
    <w:p w14:paraId="2C9EFEE1" w14:textId="77777777" w:rsidR="003523A5" w:rsidRPr="00C52E10" w:rsidRDefault="003523A5" w:rsidP="0089256F">
      <w:pPr>
        <w:rPr>
          <w:sz w:val="16"/>
          <w:szCs w:val="16"/>
          <w:u w:val="single"/>
        </w:rPr>
      </w:pPr>
    </w:p>
    <w:p w14:paraId="6AA4C9DD" w14:textId="77777777" w:rsidR="003523A5" w:rsidRPr="00C52E10" w:rsidRDefault="003523A5" w:rsidP="0089256F">
      <w:r w:rsidRPr="00C52E10">
        <w:t>Implementation Dates – Note that dates of service may not to exceed one school year.</w:t>
      </w:r>
    </w:p>
    <w:p w14:paraId="4EE1121A" w14:textId="77777777" w:rsidR="003523A5" w:rsidRPr="00C52E10" w:rsidRDefault="003523A5" w:rsidP="0089256F"/>
    <w:p w14:paraId="2B806216" w14:textId="2CE0AFA4" w:rsidR="003523A5" w:rsidRPr="00C52E10" w:rsidRDefault="003523A5" w:rsidP="0089256F">
      <w:r w:rsidRPr="00C52E10">
        <w:t>Start Date: ______________________</w:t>
      </w:r>
      <w:r w:rsidRPr="00C52E10">
        <w:tab/>
      </w:r>
      <w:r w:rsidR="0089256F">
        <w:tab/>
      </w:r>
      <w:r w:rsidRPr="00C52E10">
        <w:t xml:space="preserve">End Date: </w:t>
      </w:r>
      <w:r w:rsidR="0089256F" w:rsidRPr="00C52E10">
        <w:t>______________________</w:t>
      </w:r>
    </w:p>
    <w:p w14:paraId="773FBC62" w14:textId="77777777" w:rsidR="003523A5" w:rsidRDefault="003523A5" w:rsidP="0089256F"/>
    <w:p w14:paraId="632AE5FF" w14:textId="77777777" w:rsidR="003523A5" w:rsidRPr="00C52E10" w:rsidRDefault="003523A5" w:rsidP="0089256F">
      <w:r w:rsidRPr="00C52E10">
        <w:t xml:space="preserve">The following services will be provided for the eligible non-public school or home study student named above. </w:t>
      </w:r>
    </w:p>
    <w:p w14:paraId="7FC66523" w14:textId="77777777" w:rsidR="003523A5" w:rsidRPr="00C52E10" w:rsidRDefault="003523A5" w:rsidP="0089256F">
      <w:pPr>
        <w:rPr>
          <w:sz w:val="16"/>
          <w:szCs w:val="16"/>
        </w:rPr>
      </w:pPr>
    </w:p>
    <w:p w14:paraId="7922F96E" w14:textId="77777777" w:rsidR="003523A5" w:rsidRPr="00C52E10" w:rsidRDefault="003523A5" w:rsidP="00952F2F">
      <w:pPr>
        <w:pStyle w:val="Heading1"/>
        <w:rPr>
          <w:bCs/>
        </w:rPr>
      </w:pPr>
      <w:r w:rsidRPr="00C52E10">
        <w:t>Special Education and/or Related Services (Direct Services)</w:t>
      </w:r>
    </w:p>
    <w:tbl>
      <w:tblPr>
        <w:tblStyle w:val="TableGrid1"/>
        <w:tblW w:w="0" w:type="auto"/>
        <w:tblLook w:val="04A0" w:firstRow="1" w:lastRow="0" w:firstColumn="1" w:lastColumn="0" w:noHBand="0" w:noVBand="1"/>
      </w:tblPr>
      <w:tblGrid>
        <w:gridCol w:w="1770"/>
        <w:gridCol w:w="1498"/>
        <w:gridCol w:w="743"/>
        <w:gridCol w:w="1410"/>
        <w:gridCol w:w="1478"/>
        <w:gridCol w:w="2451"/>
      </w:tblGrid>
      <w:tr w:rsidR="003523A5" w:rsidRPr="00C52E10" w14:paraId="1C6F09B2" w14:textId="77777777" w:rsidTr="0063137E">
        <w:tc>
          <w:tcPr>
            <w:tcW w:w="1830" w:type="dxa"/>
          </w:tcPr>
          <w:p w14:paraId="4DC7EBC5" w14:textId="77777777" w:rsidR="003523A5" w:rsidRPr="009F125D" w:rsidRDefault="003523A5" w:rsidP="0089256F">
            <w:r w:rsidRPr="009F125D">
              <w:t>Type of Service</w:t>
            </w:r>
          </w:p>
        </w:tc>
        <w:tc>
          <w:tcPr>
            <w:tcW w:w="1391" w:type="dxa"/>
          </w:tcPr>
          <w:p w14:paraId="09ACB352" w14:textId="77777777" w:rsidR="003523A5" w:rsidRPr="009F125D" w:rsidRDefault="003523A5" w:rsidP="0089256F">
            <w:r w:rsidRPr="009F125D">
              <w:t>Person(s) Responsible</w:t>
            </w:r>
          </w:p>
        </w:tc>
        <w:tc>
          <w:tcPr>
            <w:tcW w:w="745" w:type="dxa"/>
          </w:tcPr>
          <w:p w14:paraId="41680098" w14:textId="77777777" w:rsidR="003523A5" w:rsidRPr="009F125D" w:rsidRDefault="003523A5" w:rsidP="0089256F">
            <w:r w:rsidRPr="009F125D">
              <w:t>Start Date</w:t>
            </w:r>
          </w:p>
        </w:tc>
        <w:tc>
          <w:tcPr>
            <w:tcW w:w="1348" w:type="dxa"/>
          </w:tcPr>
          <w:p w14:paraId="4DEB9CB6" w14:textId="77777777" w:rsidR="003523A5" w:rsidRPr="009F125D" w:rsidRDefault="003523A5" w:rsidP="0089256F">
            <w:r w:rsidRPr="009F125D">
              <w:t>Frequency/</w:t>
            </w:r>
          </w:p>
          <w:p w14:paraId="62E7D59F" w14:textId="77777777" w:rsidR="003523A5" w:rsidRPr="009F125D" w:rsidRDefault="003523A5" w:rsidP="0089256F">
            <w:r w:rsidRPr="009F125D">
              <w:t>Duration</w:t>
            </w:r>
          </w:p>
        </w:tc>
        <w:tc>
          <w:tcPr>
            <w:tcW w:w="1504" w:type="dxa"/>
          </w:tcPr>
          <w:p w14:paraId="72FB16FD" w14:textId="77777777" w:rsidR="003523A5" w:rsidRPr="009F125D" w:rsidRDefault="003523A5" w:rsidP="0089256F">
            <w:r w:rsidRPr="009F125D">
              <w:t>Location of Service</w:t>
            </w:r>
          </w:p>
        </w:tc>
        <w:tc>
          <w:tcPr>
            <w:tcW w:w="2532" w:type="dxa"/>
          </w:tcPr>
          <w:p w14:paraId="3852BBC7" w14:textId="77777777" w:rsidR="009F125D" w:rsidRPr="009F125D" w:rsidRDefault="003523A5" w:rsidP="0089256F">
            <w:r w:rsidRPr="009F125D">
              <w:t>Comments</w:t>
            </w:r>
          </w:p>
          <w:p w14:paraId="25ADED22" w14:textId="64E8214F" w:rsidR="003523A5" w:rsidRPr="009F125D" w:rsidRDefault="003523A5" w:rsidP="0089256F">
            <w:r w:rsidRPr="009F125D">
              <w:t>(</w:t>
            </w:r>
            <w:proofErr w:type="gramStart"/>
            <w:r w:rsidRPr="009F125D">
              <w:t>if</w:t>
            </w:r>
            <w:proofErr w:type="gramEnd"/>
            <w:r w:rsidRPr="009F125D">
              <w:t xml:space="preserve"> applicable)</w:t>
            </w:r>
          </w:p>
        </w:tc>
      </w:tr>
      <w:tr w:rsidR="003523A5" w:rsidRPr="00C52E10" w14:paraId="357F7544" w14:textId="77777777" w:rsidTr="0063137E">
        <w:tc>
          <w:tcPr>
            <w:tcW w:w="1830" w:type="dxa"/>
          </w:tcPr>
          <w:p w14:paraId="6AD3AB0F" w14:textId="77777777" w:rsidR="003523A5" w:rsidRPr="00C52E10" w:rsidRDefault="003523A5" w:rsidP="0089256F">
            <w:pPr>
              <w:rPr>
                <w:sz w:val="20"/>
                <w:szCs w:val="20"/>
              </w:rPr>
            </w:pPr>
          </w:p>
          <w:p w14:paraId="55563D88" w14:textId="77777777" w:rsidR="003523A5" w:rsidRPr="00C52E10" w:rsidRDefault="003523A5" w:rsidP="0089256F">
            <w:pPr>
              <w:rPr>
                <w:sz w:val="20"/>
                <w:szCs w:val="20"/>
              </w:rPr>
            </w:pPr>
          </w:p>
        </w:tc>
        <w:tc>
          <w:tcPr>
            <w:tcW w:w="1391" w:type="dxa"/>
          </w:tcPr>
          <w:p w14:paraId="68837793" w14:textId="77777777" w:rsidR="003523A5" w:rsidRPr="00C52E10" w:rsidRDefault="003523A5" w:rsidP="0089256F">
            <w:pPr>
              <w:rPr>
                <w:sz w:val="20"/>
                <w:szCs w:val="20"/>
              </w:rPr>
            </w:pPr>
          </w:p>
        </w:tc>
        <w:tc>
          <w:tcPr>
            <w:tcW w:w="745" w:type="dxa"/>
          </w:tcPr>
          <w:p w14:paraId="168F3532" w14:textId="77777777" w:rsidR="003523A5" w:rsidRPr="00C52E10" w:rsidRDefault="003523A5" w:rsidP="0089256F">
            <w:pPr>
              <w:rPr>
                <w:sz w:val="20"/>
                <w:szCs w:val="20"/>
              </w:rPr>
            </w:pPr>
          </w:p>
        </w:tc>
        <w:tc>
          <w:tcPr>
            <w:tcW w:w="1348" w:type="dxa"/>
          </w:tcPr>
          <w:p w14:paraId="0EF87D22" w14:textId="77777777" w:rsidR="003523A5" w:rsidRPr="00C52E10" w:rsidRDefault="003523A5" w:rsidP="0089256F">
            <w:pPr>
              <w:rPr>
                <w:sz w:val="20"/>
                <w:szCs w:val="20"/>
              </w:rPr>
            </w:pPr>
          </w:p>
        </w:tc>
        <w:tc>
          <w:tcPr>
            <w:tcW w:w="1504" w:type="dxa"/>
          </w:tcPr>
          <w:p w14:paraId="6DE53D24" w14:textId="77777777" w:rsidR="003523A5" w:rsidRPr="00C52E10" w:rsidRDefault="003523A5" w:rsidP="0089256F">
            <w:pPr>
              <w:rPr>
                <w:sz w:val="20"/>
                <w:szCs w:val="20"/>
              </w:rPr>
            </w:pPr>
          </w:p>
        </w:tc>
        <w:tc>
          <w:tcPr>
            <w:tcW w:w="2532" w:type="dxa"/>
          </w:tcPr>
          <w:p w14:paraId="0E678C56" w14:textId="77777777" w:rsidR="003523A5" w:rsidRPr="00C52E10" w:rsidRDefault="003523A5" w:rsidP="0089256F">
            <w:pPr>
              <w:rPr>
                <w:sz w:val="20"/>
                <w:szCs w:val="20"/>
              </w:rPr>
            </w:pPr>
          </w:p>
        </w:tc>
      </w:tr>
      <w:tr w:rsidR="003523A5" w:rsidRPr="00C52E10" w14:paraId="4AB1F22D" w14:textId="77777777" w:rsidTr="0063137E">
        <w:tc>
          <w:tcPr>
            <w:tcW w:w="1830" w:type="dxa"/>
          </w:tcPr>
          <w:p w14:paraId="75C28A1E" w14:textId="77777777" w:rsidR="003523A5" w:rsidRPr="00C52E10" w:rsidRDefault="003523A5" w:rsidP="0089256F">
            <w:pPr>
              <w:rPr>
                <w:sz w:val="20"/>
                <w:szCs w:val="20"/>
              </w:rPr>
            </w:pPr>
          </w:p>
          <w:p w14:paraId="433987A0" w14:textId="77777777" w:rsidR="003523A5" w:rsidRPr="00C52E10" w:rsidRDefault="003523A5" w:rsidP="0089256F">
            <w:pPr>
              <w:rPr>
                <w:sz w:val="20"/>
                <w:szCs w:val="20"/>
              </w:rPr>
            </w:pPr>
          </w:p>
        </w:tc>
        <w:tc>
          <w:tcPr>
            <w:tcW w:w="1391" w:type="dxa"/>
          </w:tcPr>
          <w:p w14:paraId="1114E02B" w14:textId="77777777" w:rsidR="003523A5" w:rsidRPr="00C52E10" w:rsidRDefault="003523A5" w:rsidP="0089256F">
            <w:pPr>
              <w:rPr>
                <w:sz w:val="20"/>
                <w:szCs w:val="20"/>
              </w:rPr>
            </w:pPr>
          </w:p>
        </w:tc>
        <w:tc>
          <w:tcPr>
            <w:tcW w:w="745" w:type="dxa"/>
          </w:tcPr>
          <w:p w14:paraId="68E87955" w14:textId="77777777" w:rsidR="003523A5" w:rsidRPr="00C52E10" w:rsidRDefault="003523A5" w:rsidP="0089256F">
            <w:pPr>
              <w:rPr>
                <w:sz w:val="20"/>
                <w:szCs w:val="20"/>
              </w:rPr>
            </w:pPr>
          </w:p>
        </w:tc>
        <w:tc>
          <w:tcPr>
            <w:tcW w:w="1348" w:type="dxa"/>
          </w:tcPr>
          <w:p w14:paraId="3983960F" w14:textId="77777777" w:rsidR="003523A5" w:rsidRPr="00C52E10" w:rsidRDefault="003523A5" w:rsidP="0089256F">
            <w:pPr>
              <w:rPr>
                <w:sz w:val="20"/>
                <w:szCs w:val="20"/>
              </w:rPr>
            </w:pPr>
          </w:p>
        </w:tc>
        <w:tc>
          <w:tcPr>
            <w:tcW w:w="1504" w:type="dxa"/>
          </w:tcPr>
          <w:p w14:paraId="082091AC" w14:textId="77777777" w:rsidR="003523A5" w:rsidRPr="00C52E10" w:rsidRDefault="003523A5" w:rsidP="0089256F">
            <w:pPr>
              <w:rPr>
                <w:sz w:val="20"/>
                <w:szCs w:val="20"/>
              </w:rPr>
            </w:pPr>
          </w:p>
        </w:tc>
        <w:tc>
          <w:tcPr>
            <w:tcW w:w="2532" w:type="dxa"/>
          </w:tcPr>
          <w:p w14:paraId="64812D41" w14:textId="77777777" w:rsidR="003523A5" w:rsidRPr="00C52E10" w:rsidRDefault="003523A5" w:rsidP="0089256F">
            <w:pPr>
              <w:rPr>
                <w:sz w:val="20"/>
                <w:szCs w:val="20"/>
              </w:rPr>
            </w:pPr>
          </w:p>
        </w:tc>
      </w:tr>
    </w:tbl>
    <w:p w14:paraId="27A480D7" w14:textId="77777777" w:rsidR="003523A5" w:rsidRPr="00C52E10" w:rsidRDefault="003523A5" w:rsidP="003523A5">
      <w:pPr>
        <w:spacing w:before="0" w:after="0" w:line="240" w:lineRule="auto"/>
        <w:rPr>
          <w:rFonts w:ascii="Franklin Gothic Demi Cond" w:hAnsi="Franklin Gothic Demi Cond" w:cs="Times New Roman"/>
          <w:bCs w:val="0"/>
        </w:rPr>
      </w:pPr>
    </w:p>
    <w:p w14:paraId="6CEF7F6F" w14:textId="77777777" w:rsidR="003523A5" w:rsidRPr="00C52E10" w:rsidRDefault="003523A5" w:rsidP="0089256F">
      <w:pPr>
        <w:pStyle w:val="Heading1"/>
        <w:rPr>
          <w:bCs/>
        </w:rPr>
      </w:pPr>
      <w:r w:rsidRPr="00C52E10">
        <w:t>Training or Support Services (In-direct services for school personnel and/or parents)</w:t>
      </w:r>
    </w:p>
    <w:tbl>
      <w:tblPr>
        <w:tblStyle w:val="TableGrid1"/>
        <w:tblW w:w="0" w:type="auto"/>
        <w:tblLook w:val="04A0" w:firstRow="1" w:lastRow="0" w:firstColumn="1" w:lastColumn="0" w:noHBand="0" w:noVBand="1"/>
      </w:tblPr>
      <w:tblGrid>
        <w:gridCol w:w="1770"/>
        <w:gridCol w:w="1498"/>
        <w:gridCol w:w="743"/>
        <w:gridCol w:w="1410"/>
        <w:gridCol w:w="1478"/>
        <w:gridCol w:w="2451"/>
      </w:tblGrid>
      <w:tr w:rsidR="003523A5" w:rsidRPr="00C52E10" w14:paraId="25B35452" w14:textId="77777777" w:rsidTr="0063137E">
        <w:tc>
          <w:tcPr>
            <w:tcW w:w="1830" w:type="dxa"/>
          </w:tcPr>
          <w:p w14:paraId="3AF8C288" w14:textId="77777777" w:rsidR="003523A5" w:rsidRPr="009F125D" w:rsidRDefault="003523A5" w:rsidP="0089256F">
            <w:r w:rsidRPr="009F125D">
              <w:t>Type of Service</w:t>
            </w:r>
          </w:p>
        </w:tc>
        <w:tc>
          <w:tcPr>
            <w:tcW w:w="1391" w:type="dxa"/>
          </w:tcPr>
          <w:p w14:paraId="744BA2F6" w14:textId="77777777" w:rsidR="003523A5" w:rsidRPr="009F125D" w:rsidRDefault="003523A5" w:rsidP="0089256F">
            <w:r w:rsidRPr="009F125D">
              <w:t>Person(s) Responsible</w:t>
            </w:r>
          </w:p>
        </w:tc>
        <w:tc>
          <w:tcPr>
            <w:tcW w:w="745" w:type="dxa"/>
          </w:tcPr>
          <w:p w14:paraId="14B7A31E" w14:textId="77777777" w:rsidR="003523A5" w:rsidRPr="009F125D" w:rsidRDefault="003523A5" w:rsidP="0089256F">
            <w:r w:rsidRPr="009F125D">
              <w:t>Start Date</w:t>
            </w:r>
          </w:p>
        </w:tc>
        <w:tc>
          <w:tcPr>
            <w:tcW w:w="1348" w:type="dxa"/>
          </w:tcPr>
          <w:p w14:paraId="63F9712A" w14:textId="77777777" w:rsidR="003523A5" w:rsidRPr="009F125D" w:rsidRDefault="003523A5" w:rsidP="0089256F">
            <w:r w:rsidRPr="009F125D">
              <w:t>Frequency/</w:t>
            </w:r>
          </w:p>
          <w:p w14:paraId="73774C18" w14:textId="77777777" w:rsidR="003523A5" w:rsidRPr="009F125D" w:rsidRDefault="003523A5" w:rsidP="0089256F">
            <w:r w:rsidRPr="009F125D">
              <w:t>Duration</w:t>
            </w:r>
          </w:p>
        </w:tc>
        <w:tc>
          <w:tcPr>
            <w:tcW w:w="1504" w:type="dxa"/>
          </w:tcPr>
          <w:p w14:paraId="42AF2DE1" w14:textId="77777777" w:rsidR="003523A5" w:rsidRPr="009F125D" w:rsidRDefault="003523A5" w:rsidP="0089256F">
            <w:r w:rsidRPr="009F125D">
              <w:t>Location of Service</w:t>
            </w:r>
          </w:p>
        </w:tc>
        <w:tc>
          <w:tcPr>
            <w:tcW w:w="2532" w:type="dxa"/>
          </w:tcPr>
          <w:p w14:paraId="7ABFF5D1" w14:textId="77777777" w:rsidR="009F125D" w:rsidRPr="009F125D" w:rsidRDefault="003523A5" w:rsidP="0089256F">
            <w:r w:rsidRPr="009F125D">
              <w:t>Comments</w:t>
            </w:r>
          </w:p>
          <w:p w14:paraId="557FDFA3" w14:textId="1D164774" w:rsidR="003523A5" w:rsidRPr="009F125D" w:rsidRDefault="003523A5" w:rsidP="0089256F">
            <w:r w:rsidRPr="009F125D">
              <w:t>(</w:t>
            </w:r>
            <w:proofErr w:type="gramStart"/>
            <w:r w:rsidRPr="009F125D">
              <w:t>if</w:t>
            </w:r>
            <w:proofErr w:type="gramEnd"/>
            <w:r w:rsidRPr="009F125D">
              <w:t xml:space="preserve"> applicable)</w:t>
            </w:r>
          </w:p>
        </w:tc>
      </w:tr>
      <w:tr w:rsidR="003523A5" w:rsidRPr="00C52E10" w14:paraId="75A9A757" w14:textId="77777777" w:rsidTr="0063137E">
        <w:tc>
          <w:tcPr>
            <w:tcW w:w="1830" w:type="dxa"/>
          </w:tcPr>
          <w:p w14:paraId="6BB69B0A" w14:textId="77777777" w:rsidR="003523A5" w:rsidRPr="00C52E10" w:rsidRDefault="003523A5" w:rsidP="0089256F">
            <w:pPr>
              <w:rPr>
                <w:sz w:val="20"/>
                <w:szCs w:val="20"/>
              </w:rPr>
            </w:pPr>
          </w:p>
          <w:p w14:paraId="5766B2E3" w14:textId="77777777" w:rsidR="003523A5" w:rsidRPr="00C52E10" w:rsidRDefault="003523A5" w:rsidP="0089256F">
            <w:pPr>
              <w:rPr>
                <w:sz w:val="20"/>
                <w:szCs w:val="20"/>
              </w:rPr>
            </w:pPr>
          </w:p>
        </w:tc>
        <w:tc>
          <w:tcPr>
            <w:tcW w:w="1391" w:type="dxa"/>
          </w:tcPr>
          <w:p w14:paraId="19E989CE" w14:textId="77777777" w:rsidR="003523A5" w:rsidRPr="00C52E10" w:rsidRDefault="003523A5" w:rsidP="0089256F">
            <w:pPr>
              <w:rPr>
                <w:sz w:val="20"/>
                <w:szCs w:val="20"/>
              </w:rPr>
            </w:pPr>
          </w:p>
        </w:tc>
        <w:tc>
          <w:tcPr>
            <w:tcW w:w="745" w:type="dxa"/>
          </w:tcPr>
          <w:p w14:paraId="2F58676C" w14:textId="77777777" w:rsidR="003523A5" w:rsidRPr="00C52E10" w:rsidRDefault="003523A5" w:rsidP="0089256F">
            <w:pPr>
              <w:rPr>
                <w:sz w:val="20"/>
                <w:szCs w:val="20"/>
              </w:rPr>
            </w:pPr>
          </w:p>
        </w:tc>
        <w:tc>
          <w:tcPr>
            <w:tcW w:w="1348" w:type="dxa"/>
          </w:tcPr>
          <w:p w14:paraId="6D846DED" w14:textId="77777777" w:rsidR="003523A5" w:rsidRPr="00C52E10" w:rsidRDefault="003523A5" w:rsidP="0089256F">
            <w:pPr>
              <w:rPr>
                <w:sz w:val="20"/>
                <w:szCs w:val="20"/>
              </w:rPr>
            </w:pPr>
          </w:p>
        </w:tc>
        <w:tc>
          <w:tcPr>
            <w:tcW w:w="1504" w:type="dxa"/>
          </w:tcPr>
          <w:p w14:paraId="0C7A192F" w14:textId="77777777" w:rsidR="003523A5" w:rsidRPr="00C52E10" w:rsidRDefault="003523A5" w:rsidP="0089256F">
            <w:pPr>
              <w:rPr>
                <w:sz w:val="20"/>
                <w:szCs w:val="20"/>
              </w:rPr>
            </w:pPr>
          </w:p>
        </w:tc>
        <w:tc>
          <w:tcPr>
            <w:tcW w:w="2532" w:type="dxa"/>
          </w:tcPr>
          <w:p w14:paraId="4324CBC2" w14:textId="77777777" w:rsidR="003523A5" w:rsidRPr="00C52E10" w:rsidRDefault="003523A5" w:rsidP="0089256F">
            <w:pPr>
              <w:rPr>
                <w:sz w:val="20"/>
                <w:szCs w:val="20"/>
              </w:rPr>
            </w:pPr>
          </w:p>
        </w:tc>
      </w:tr>
      <w:tr w:rsidR="003523A5" w:rsidRPr="00C52E10" w14:paraId="038AD543" w14:textId="77777777" w:rsidTr="0063137E">
        <w:tc>
          <w:tcPr>
            <w:tcW w:w="1830" w:type="dxa"/>
          </w:tcPr>
          <w:p w14:paraId="0885BAF5" w14:textId="77777777" w:rsidR="003523A5" w:rsidRPr="00C52E10" w:rsidRDefault="003523A5" w:rsidP="0089256F">
            <w:pPr>
              <w:rPr>
                <w:sz w:val="20"/>
                <w:szCs w:val="20"/>
              </w:rPr>
            </w:pPr>
          </w:p>
          <w:p w14:paraId="0D61F058" w14:textId="77777777" w:rsidR="003523A5" w:rsidRPr="00C52E10" w:rsidRDefault="003523A5" w:rsidP="0089256F">
            <w:pPr>
              <w:rPr>
                <w:sz w:val="20"/>
                <w:szCs w:val="20"/>
              </w:rPr>
            </w:pPr>
          </w:p>
        </w:tc>
        <w:tc>
          <w:tcPr>
            <w:tcW w:w="1391" w:type="dxa"/>
          </w:tcPr>
          <w:p w14:paraId="014E214F" w14:textId="77777777" w:rsidR="003523A5" w:rsidRPr="00C52E10" w:rsidRDefault="003523A5" w:rsidP="0089256F">
            <w:pPr>
              <w:rPr>
                <w:sz w:val="20"/>
                <w:szCs w:val="20"/>
              </w:rPr>
            </w:pPr>
          </w:p>
        </w:tc>
        <w:tc>
          <w:tcPr>
            <w:tcW w:w="745" w:type="dxa"/>
          </w:tcPr>
          <w:p w14:paraId="2D609629" w14:textId="77777777" w:rsidR="003523A5" w:rsidRPr="00C52E10" w:rsidRDefault="003523A5" w:rsidP="0089256F">
            <w:pPr>
              <w:rPr>
                <w:sz w:val="20"/>
                <w:szCs w:val="20"/>
              </w:rPr>
            </w:pPr>
          </w:p>
        </w:tc>
        <w:tc>
          <w:tcPr>
            <w:tcW w:w="1348" w:type="dxa"/>
          </w:tcPr>
          <w:p w14:paraId="6D6D8127" w14:textId="77777777" w:rsidR="003523A5" w:rsidRPr="00C52E10" w:rsidRDefault="003523A5" w:rsidP="0089256F">
            <w:pPr>
              <w:rPr>
                <w:sz w:val="20"/>
                <w:szCs w:val="20"/>
              </w:rPr>
            </w:pPr>
          </w:p>
        </w:tc>
        <w:tc>
          <w:tcPr>
            <w:tcW w:w="1504" w:type="dxa"/>
          </w:tcPr>
          <w:p w14:paraId="1D00ADD8" w14:textId="77777777" w:rsidR="003523A5" w:rsidRPr="00C52E10" w:rsidRDefault="003523A5" w:rsidP="0089256F">
            <w:pPr>
              <w:rPr>
                <w:sz w:val="20"/>
                <w:szCs w:val="20"/>
              </w:rPr>
            </w:pPr>
          </w:p>
        </w:tc>
        <w:tc>
          <w:tcPr>
            <w:tcW w:w="2532" w:type="dxa"/>
          </w:tcPr>
          <w:p w14:paraId="3E19EC4B" w14:textId="77777777" w:rsidR="003523A5" w:rsidRPr="00C52E10" w:rsidRDefault="003523A5" w:rsidP="0089256F">
            <w:pPr>
              <w:rPr>
                <w:sz w:val="20"/>
                <w:szCs w:val="20"/>
              </w:rPr>
            </w:pPr>
          </w:p>
        </w:tc>
      </w:tr>
    </w:tbl>
    <w:p w14:paraId="002420EB" w14:textId="77777777" w:rsidR="003523A5" w:rsidRPr="00C52E10" w:rsidRDefault="003523A5" w:rsidP="003523A5">
      <w:pPr>
        <w:spacing w:before="0" w:after="0" w:line="240" w:lineRule="auto"/>
        <w:rPr>
          <w:rFonts w:cs="Times New Roman"/>
          <w:bCs w:val="0"/>
          <w:sz w:val="16"/>
          <w:szCs w:val="16"/>
        </w:rPr>
      </w:pPr>
    </w:p>
    <w:p w14:paraId="050F85FB" w14:textId="77777777" w:rsidR="003523A5" w:rsidRPr="00C52E10" w:rsidRDefault="003523A5" w:rsidP="003523A5">
      <w:pPr>
        <w:spacing w:before="0" w:after="0" w:line="240" w:lineRule="auto"/>
        <w:rPr>
          <w:rFonts w:cs="Times New Roman"/>
          <w:bCs w:val="0"/>
          <w:sz w:val="16"/>
          <w:szCs w:val="16"/>
        </w:rPr>
      </w:pPr>
    </w:p>
    <w:p w14:paraId="3F93A0E9" w14:textId="77777777" w:rsidR="003523A5" w:rsidRPr="00C52E10" w:rsidRDefault="003523A5" w:rsidP="0089256F">
      <w:r w:rsidRPr="00C52E10">
        <w:lastRenderedPageBreak/>
        <w:t xml:space="preserve">Please contact LEA at (phone) if you have any questions about these services. Use of these services does not constitute an individual entitlement or an individual commitment by LEA to provide such services. </w:t>
      </w:r>
    </w:p>
    <w:p w14:paraId="1D90F1BC" w14:textId="77777777" w:rsidR="003523A5" w:rsidRPr="00C52E10" w:rsidRDefault="003523A5" w:rsidP="0089256F">
      <w:pPr>
        <w:rPr>
          <w:sz w:val="16"/>
          <w:szCs w:val="16"/>
        </w:rPr>
      </w:pPr>
    </w:p>
    <w:p w14:paraId="5C9679E2" w14:textId="77777777" w:rsidR="003523A5" w:rsidRPr="00C52E10" w:rsidRDefault="003523A5" w:rsidP="0089256F">
      <w:r w:rsidRPr="00C52E10">
        <w:t>LEA/Public School Name: _____________________________________________________________</w:t>
      </w:r>
    </w:p>
    <w:p w14:paraId="13CEC2F9" w14:textId="50C867FB" w:rsidR="003523A5" w:rsidRPr="00C52E10" w:rsidRDefault="003523A5" w:rsidP="0089256F">
      <w:r w:rsidRPr="00C52E10">
        <w:t xml:space="preserve">LEA Representative’s Printed Name: ___________________________________________________ </w:t>
      </w:r>
    </w:p>
    <w:p w14:paraId="7E1A8533" w14:textId="48988C2D" w:rsidR="003523A5" w:rsidRPr="00C52E10" w:rsidRDefault="003523A5" w:rsidP="0089256F">
      <w:r w:rsidRPr="00C52E10">
        <w:t xml:space="preserve">LEA Representative’s Signature: _______________________________________________________ </w:t>
      </w:r>
    </w:p>
    <w:p w14:paraId="5A74DEF3" w14:textId="6E70D543" w:rsidR="003523A5" w:rsidRPr="00C52E10" w:rsidRDefault="003523A5" w:rsidP="0089256F">
      <w:r w:rsidRPr="00C52E10">
        <w:t>Date: ______________________</w:t>
      </w:r>
    </w:p>
    <w:p w14:paraId="34375CEC" w14:textId="77777777" w:rsidR="0070601B" w:rsidRPr="0070601B" w:rsidRDefault="0070601B" w:rsidP="0089256F"/>
    <w:p w14:paraId="74E8E36E" w14:textId="77777777" w:rsidR="0093365D" w:rsidRDefault="0093365D" w:rsidP="0089256F">
      <w:pPr>
        <w:rPr>
          <w:rFonts w:ascii="Franklin Gothic Demi" w:eastAsia="Yu Gothic Light" w:hAnsi="Franklin Gothic Demi"/>
          <w:sz w:val="32"/>
          <w:szCs w:val="32"/>
        </w:rPr>
      </w:pPr>
    </w:p>
    <w:p w14:paraId="1FD77CC3" w14:textId="2D732A0E" w:rsidR="00BD4EA8" w:rsidRDefault="00BD4EA8">
      <w:pPr>
        <w:spacing w:before="0" w:after="200" w:line="276" w:lineRule="auto"/>
        <w:rPr>
          <w:rFonts w:ascii="Franklin Gothic Demi" w:eastAsia="Yu Gothic Light" w:hAnsi="Franklin Gothic Demi" w:cs="Times New Roman"/>
          <w:sz w:val="32"/>
          <w:szCs w:val="32"/>
        </w:rPr>
      </w:pPr>
      <w:r>
        <w:rPr>
          <w:rFonts w:ascii="Franklin Gothic Demi" w:eastAsia="Yu Gothic Light" w:hAnsi="Franklin Gothic Demi" w:cs="Times New Roman"/>
          <w:sz w:val="32"/>
          <w:szCs w:val="32"/>
        </w:rPr>
        <w:br w:type="page"/>
      </w:r>
    </w:p>
    <w:p w14:paraId="0DEB83D8" w14:textId="77777777" w:rsidR="00BD4EA8" w:rsidRPr="00EE5D21" w:rsidRDefault="00BD4EA8" w:rsidP="0089256F">
      <w:pPr>
        <w:pStyle w:val="Title"/>
      </w:pPr>
      <w:r w:rsidRPr="009E19BE">
        <w:lastRenderedPageBreak/>
        <w:t xml:space="preserve">Form </w:t>
      </w:r>
      <w:r>
        <w:t xml:space="preserve">#10b </w:t>
      </w:r>
      <w:r w:rsidRPr="00F017D6">
        <w:t>-</w:t>
      </w:r>
      <w:r w:rsidRPr="008F2525">
        <w:rPr>
          <w:rFonts w:ascii="Franklin Gothic Medium" w:eastAsiaTheme="minorHAnsi" w:hAnsi="Franklin Gothic Medium" w:cstheme="minorBidi"/>
          <w:sz w:val="32"/>
        </w:rPr>
        <w:t xml:space="preserve"> </w:t>
      </w:r>
      <w:r w:rsidRPr="00EE5D21">
        <w:t>LEA Certification for IDEA Proportionate Share</w:t>
      </w:r>
    </w:p>
    <w:p w14:paraId="363597E6" w14:textId="77777777" w:rsidR="00BD4EA8" w:rsidRPr="007F0976" w:rsidRDefault="00BD4EA8" w:rsidP="0089256F">
      <w:r w:rsidRPr="007F0976">
        <w:t xml:space="preserve">The LEA must complete and submit this certification for IDEA proportionate share requirements as part of the IDEA Grant application process due annually on July 1st. </w:t>
      </w:r>
    </w:p>
    <w:p w14:paraId="41111012" w14:textId="77777777" w:rsidR="00BD4EA8" w:rsidRPr="007F0976" w:rsidRDefault="00BD4EA8" w:rsidP="0089256F">
      <w:r w:rsidRPr="007F0976">
        <w:t xml:space="preserve">In accordance with the requirements of the Individuals with Disabilities Education Act (IDEA), we hereby affirm that timely and meaningful consultation occurred with representatives of non-public schools and home study programs and that this LEA will maintain documentation that this consultation occurred. This documentation {Forms 10 – Written Affirmation Statement and 10a – Services Plan} will be kept by the LEA pursuant to retention schedule for federal grants. </w:t>
      </w:r>
    </w:p>
    <w:p w14:paraId="5E799E81" w14:textId="77777777" w:rsidR="00BD4EA8" w:rsidRPr="007F0976" w:rsidRDefault="00BD4EA8" w:rsidP="0089256F">
      <w:proofErr w:type="gramStart"/>
      <w:r w:rsidRPr="007F0976">
        <w:t>During the course of</w:t>
      </w:r>
      <w:proofErr w:type="gramEnd"/>
      <w:r w:rsidRPr="007F0976">
        <w:t xml:space="preserve"> the consultation, the following issues were discussed: </w:t>
      </w:r>
    </w:p>
    <w:p w14:paraId="7AC294EC" w14:textId="5C6AD789" w:rsidR="00BD4EA8" w:rsidRPr="007F0976" w:rsidRDefault="00BD4EA8" w:rsidP="0089256F">
      <w:pPr>
        <w:pStyle w:val="AOENumberedList"/>
        <w:numPr>
          <w:ilvl w:val="0"/>
          <w:numId w:val="41"/>
        </w:numPr>
      </w:pPr>
      <w:r w:rsidRPr="007F0976">
        <w:t xml:space="preserve">The Child Find process and how </w:t>
      </w:r>
      <w:proofErr w:type="gramStart"/>
      <w:r w:rsidRPr="007F0976">
        <w:t>parentally-placed</w:t>
      </w:r>
      <w:proofErr w:type="gramEnd"/>
      <w:r w:rsidRPr="007F0976">
        <w:t xml:space="preserve"> students who are non-publicly educated and suspected of having a disability can participate equitably, including how parents, teachers, and non-public school officials will be informed of the process by LEA; </w:t>
      </w:r>
    </w:p>
    <w:p w14:paraId="15D82EAD" w14:textId="77777777" w:rsidR="00BD4EA8" w:rsidRPr="007F0976" w:rsidRDefault="00BD4EA8" w:rsidP="0089256F">
      <w:pPr>
        <w:pStyle w:val="AOENumberedList"/>
      </w:pPr>
      <w:r w:rsidRPr="007F0976">
        <w:t xml:space="preserve">The determination of the proportionate amount of federal funds available to serve </w:t>
      </w:r>
      <w:proofErr w:type="gramStart"/>
      <w:r w:rsidRPr="007F0976">
        <w:t>parentally-placed</w:t>
      </w:r>
      <w:proofErr w:type="gramEnd"/>
      <w:r w:rsidRPr="007F0976">
        <w:t xml:space="preserve"> non-public school students with disabilities under this paragraph, including the determination of how the amount was calculated and allocated by LEA; </w:t>
      </w:r>
    </w:p>
    <w:p w14:paraId="21836FF3" w14:textId="77777777" w:rsidR="00BD4EA8" w:rsidRPr="007F0976" w:rsidRDefault="00BD4EA8" w:rsidP="0089256F">
      <w:pPr>
        <w:pStyle w:val="AOENumberedList"/>
      </w:pPr>
      <w:r w:rsidRPr="007F0976">
        <w:t xml:space="preserve">The consultation process among the LEA, non-public school officials, and representatives of parents of </w:t>
      </w:r>
      <w:proofErr w:type="gramStart"/>
      <w:r w:rsidRPr="007F0976">
        <w:t>parentally-placed</w:t>
      </w:r>
      <w:proofErr w:type="gramEnd"/>
      <w:r w:rsidRPr="007F0976">
        <w:t xml:space="preserve"> students with disabilities who are non-publicly educated, including how such process will operate throughout the school year to ensure that parentally placed-non-public school students with disabilities identified through Child Find can meaningfully participate in special education and related services; </w:t>
      </w:r>
    </w:p>
    <w:p w14:paraId="4A6A9398" w14:textId="77777777" w:rsidR="00BD4EA8" w:rsidRPr="007F0976" w:rsidRDefault="00BD4EA8" w:rsidP="0089256F">
      <w:pPr>
        <w:pStyle w:val="AOENumberedList"/>
      </w:pPr>
      <w:r w:rsidRPr="007F0976">
        <w:t xml:space="preserve">How, where, and by whom special education and related services will be provided for </w:t>
      </w:r>
      <w:proofErr w:type="gramStart"/>
      <w:r w:rsidRPr="007F0976">
        <w:t>parentally-placed</w:t>
      </w:r>
      <w:proofErr w:type="gramEnd"/>
      <w:r w:rsidRPr="007F0976">
        <w:t xml:space="preserve"> students with disabilities who are non-publicly educated, including a discussion of types of services and how and when these decisions will be made, including direct services and alternate service delivery mechanisms; </w:t>
      </w:r>
    </w:p>
    <w:p w14:paraId="75AD11A5" w14:textId="77777777" w:rsidR="00BD4EA8" w:rsidRPr="007F0976" w:rsidRDefault="00BD4EA8" w:rsidP="0089256F">
      <w:pPr>
        <w:pStyle w:val="AOENumberedList"/>
      </w:pPr>
      <w:r w:rsidRPr="007F0976">
        <w:t xml:space="preserve">How such services will be apportioned if funds are insufficient to serve all children, and how and when these decisions will be made; and </w:t>
      </w:r>
    </w:p>
    <w:p w14:paraId="0B8AE892" w14:textId="77777777" w:rsidR="00BD4EA8" w:rsidRPr="007F0976" w:rsidRDefault="00BD4EA8" w:rsidP="0089256F">
      <w:pPr>
        <w:pStyle w:val="AOENumberedList"/>
      </w:pPr>
      <w:r w:rsidRPr="007F0976">
        <w:t xml:space="preserve">Process for LEA disagreement with the views of the non-public school officials on the provision of services or the types of services, whether provided directly or through a contract, the LEA shall provide to the non-public school officials a written explanation of the reasons why the school district chose not to provide services directly or through a contract. </w:t>
      </w:r>
    </w:p>
    <w:p w14:paraId="6B08E5CE" w14:textId="77777777" w:rsidR="00BD4EA8" w:rsidRDefault="00BD4EA8" w:rsidP="00BD4EA8">
      <w:pPr>
        <w:spacing w:before="0" w:after="0" w:line="240" w:lineRule="auto"/>
        <w:rPr>
          <w:rFonts w:cs="Times New Roman"/>
          <w:bCs w:val="0"/>
        </w:rPr>
      </w:pPr>
    </w:p>
    <w:p w14:paraId="4F64F597" w14:textId="77777777" w:rsidR="00BD4EA8" w:rsidRDefault="00BD4EA8" w:rsidP="0089256F">
      <w:r w:rsidRPr="007F0976">
        <w:t>Name of LEA/Public School</w:t>
      </w:r>
      <w:r>
        <w:t>:</w:t>
      </w:r>
      <w:r w:rsidRPr="007F0976">
        <w:t xml:space="preserve"> ________________________________________________________</w:t>
      </w:r>
      <w:r>
        <w:t>___</w:t>
      </w:r>
    </w:p>
    <w:p w14:paraId="72007AC9" w14:textId="77777777" w:rsidR="00BD4EA8" w:rsidRDefault="00BD4EA8" w:rsidP="0089256F"/>
    <w:p w14:paraId="6F2E6F1B" w14:textId="05F53711" w:rsidR="00BD4EA8" w:rsidRPr="007F0976" w:rsidRDefault="00BD4EA8" w:rsidP="0089256F">
      <w:r w:rsidRPr="007F0976">
        <w:t>Name of LEA/Public School Representative</w:t>
      </w:r>
      <w:r>
        <w:t>:</w:t>
      </w:r>
      <w:r w:rsidR="00B847B9">
        <w:t xml:space="preserve"> </w:t>
      </w:r>
      <w:r w:rsidRPr="007F0976">
        <w:t>_________________________________________</w:t>
      </w:r>
      <w:r>
        <w:t>____</w:t>
      </w:r>
    </w:p>
    <w:p w14:paraId="63694310" w14:textId="77777777" w:rsidR="00BD4EA8" w:rsidRDefault="00BD4EA8" w:rsidP="0089256F"/>
    <w:p w14:paraId="4183B832" w14:textId="75B68D1C" w:rsidR="00BD4EA8" w:rsidRDefault="00BD4EA8" w:rsidP="0089256F">
      <w:r w:rsidRPr="007F0976">
        <w:t>Signature of LEA/Public School Representative</w:t>
      </w:r>
      <w:r>
        <w:t>:</w:t>
      </w:r>
      <w:r w:rsidR="00B847B9">
        <w:t xml:space="preserve"> </w:t>
      </w:r>
      <w:r>
        <w:t>___________</w:t>
      </w:r>
      <w:r w:rsidRPr="007F0976">
        <w:t>______________</w:t>
      </w:r>
      <w:r>
        <w:t xml:space="preserve">_________________ </w:t>
      </w:r>
    </w:p>
    <w:p w14:paraId="7028AC7C" w14:textId="77777777" w:rsidR="00BD4EA8" w:rsidRDefault="00BD4EA8" w:rsidP="0089256F"/>
    <w:p w14:paraId="2EFE314A" w14:textId="77506048" w:rsidR="00BD4EA8" w:rsidRDefault="00BD4EA8" w:rsidP="0089256F">
      <w:pPr>
        <w:rPr>
          <w:rFonts w:ascii="Franklin Gothic Demi" w:eastAsia="Yu Gothic Light" w:hAnsi="Franklin Gothic Demi"/>
          <w:sz w:val="32"/>
          <w:szCs w:val="32"/>
        </w:rPr>
      </w:pPr>
      <w:r w:rsidRPr="007F0976">
        <w:t>Date</w:t>
      </w:r>
      <w:r>
        <w:t>:</w:t>
      </w:r>
      <w:r w:rsidR="00B847B9">
        <w:t xml:space="preserve"> </w:t>
      </w:r>
      <w:r>
        <w:t>____________</w:t>
      </w:r>
    </w:p>
    <w:p w14:paraId="6809C437" w14:textId="5DEA6BEF" w:rsidR="0070601B" w:rsidRPr="0070601B" w:rsidRDefault="0070601B" w:rsidP="0089256F">
      <w:pPr>
        <w:pStyle w:val="Title"/>
        <w:rPr>
          <w:rFonts w:eastAsia="Yu Gothic Light"/>
        </w:rPr>
      </w:pPr>
      <w:r w:rsidRPr="0070601B">
        <w:rPr>
          <w:rFonts w:eastAsia="Yu Gothic Light"/>
        </w:rPr>
        <w:lastRenderedPageBreak/>
        <w:t>Appendix A – Process for Proportionate Share Decisions</w:t>
      </w:r>
    </w:p>
    <w:p w14:paraId="59B97388" w14:textId="77777777" w:rsidR="0070601B" w:rsidRPr="0070601B" w:rsidRDefault="0070601B" w:rsidP="0070601B">
      <w:pPr>
        <w:spacing w:before="0" w:after="0" w:line="240" w:lineRule="auto"/>
        <w:rPr>
          <w:rFonts w:cs="Times New Roman"/>
        </w:rPr>
      </w:pPr>
    </w:p>
    <w:p w14:paraId="3A92046B" w14:textId="77777777" w:rsidR="0070601B" w:rsidRPr="0070601B" w:rsidRDefault="0070601B" w:rsidP="0089256F">
      <w:r w:rsidRPr="0070601B">
        <w:t>When considering whether proportionate share is applicable for any given situation, please answer the following questions:</w:t>
      </w:r>
    </w:p>
    <w:p w14:paraId="0EC058D0" w14:textId="2F8B49D2" w:rsidR="0070601B" w:rsidRPr="0070601B" w:rsidRDefault="0070601B" w:rsidP="0089256F">
      <w:pPr>
        <w:pStyle w:val="AOENumberedList"/>
        <w:numPr>
          <w:ilvl w:val="0"/>
          <w:numId w:val="42"/>
        </w:numPr>
      </w:pPr>
      <w:r w:rsidRPr="0070601B">
        <w:t xml:space="preserve">Did the PARENT enroll the student in non-public school (including home study)? </w:t>
      </w:r>
    </w:p>
    <w:p w14:paraId="041BD22C" w14:textId="77777777" w:rsidR="0070601B" w:rsidRPr="0070601B" w:rsidRDefault="0070601B" w:rsidP="0089256F">
      <w:pPr>
        <w:pStyle w:val="AOENumberedList"/>
        <w:numPr>
          <w:ilvl w:val="0"/>
          <w:numId w:val="0"/>
        </w:numPr>
        <w:ind w:left="360"/>
      </w:pPr>
      <w:r w:rsidRPr="0070601B">
        <w:t>[34 CFR 300.13]</w:t>
      </w:r>
    </w:p>
    <w:p w14:paraId="3A5A94B6" w14:textId="4F3A2EB4" w:rsidR="0070601B" w:rsidRPr="0070601B" w:rsidRDefault="0070601B" w:rsidP="000D3611">
      <w:pPr>
        <w:pStyle w:val="AOENumberedList"/>
        <w:numPr>
          <w:ilvl w:val="0"/>
          <w:numId w:val="0"/>
        </w:numPr>
        <w:ind w:left="360" w:firstLine="360"/>
      </w:pPr>
      <w:r w:rsidRPr="0070601B">
        <w:t>Yes – Proceed to next question</w:t>
      </w:r>
    </w:p>
    <w:p w14:paraId="4007E2D5" w14:textId="77777777" w:rsidR="0070601B" w:rsidRDefault="0070601B" w:rsidP="000D3611">
      <w:pPr>
        <w:pStyle w:val="AOENumberedList"/>
        <w:numPr>
          <w:ilvl w:val="0"/>
          <w:numId w:val="0"/>
        </w:numPr>
        <w:ind w:left="360" w:firstLine="360"/>
      </w:pPr>
      <w:r w:rsidRPr="0070601B">
        <w:t>No – Prop Share is not applicable</w:t>
      </w:r>
    </w:p>
    <w:p w14:paraId="47DF3EA6" w14:textId="77777777" w:rsidR="000D3611" w:rsidRPr="0070601B" w:rsidRDefault="000D3611" w:rsidP="000D3611">
      <w:pPr>
        <w:pStyle w:val="AOENumberedList"/>
        <w:numPr>
          <w:ilvl w:val="0"/>
          <w:numId w:val="0"/>
        </w:numPr>
        <w:ind w:left="360" w:firstLine="360"/>
      </w:pPr>
    </w:p>
    <w:p w14:paraId="0995E19F" w14:textId="77777777" w:rsidR="0070601B" w:rsidRPr="0070601B" w:rsidRDefault="0070601B" w:rsidP="0089256F">
      <w:pPr>
        <w:pStyle w:val="AOENumberedList"/>
      </w:pPr>
      <w:r w:rsidRPr="0070601B">
        <w:t>Is the parental placement a NON-PROFIT non-public SCHOOL (including home study)?</w:t>
      </w:r>
    </w:p>
    <w:p w14:paraId="55FD34E0" w14:textId="77777777" w:rsidR="0070601B" w:rsidRPr="0070601B" w:rsidRDefault="0070601B" w:rsidP="000D3611">
      <w:pPr>
        <w:pStyle w:val="AOENumberedList"/>
        <w:numPr>
          <w:ilvl w:val="0"/>
          <w:numId w:val="0"/>
        </w:numPr>
        <w:ind w:left="360"/>
      </w:pPr>
      <w:r w:rsidRPr="0070601B">
        <w:t>[34 CFR 300.13 and 16 VSA (a)(8)]</w:t>
      </w:r>
    </w:p>
    <w:p w14:paraId="6DE26457" w14:textId="77777777" w:rsidR="0070601B" w:rsidRPr="0070601B" w:rsidRDefault="0070601B" w:rsidP="000D3611">
      <w:pPr>
        <w:pStyle w:val="AOENumberedList"/>
        <w:numPr>
          <w:ilvl w:val="0"/>
          <w:numId w:val="0"/>
        </w:numPr>
        <w:ind w:left="360" w:firstLine="360"/>
      </w:pPr>
      <w:r w:rsidRPr="0070601B">
        <w:t>Yes – Proceed to next question</w:t>
      </w:r>
    </w:p>
    <w:p w14:paraId="21305E2F" w14:textId="77777777" w:rsidR="0070601B" w:rsidRDefault="0070601B" w:rsidP="000D3611">
      <w:pPr>
        <w:pStyle w:val="AOENumberedList"/>
        <w:numPr>
          <w:ilvl w:val="0"/>
          <w:numId w:val="0"/>
        </w:numPr>
        <w:ind w:left="360" w:firstLine="360"/>
      </w:pPr>
      <w:r w:rsidRPr="0070601B">
        <w:t>No – Prop Share is not applicable</w:t>
      </w:r>
    </w:p>
    <w:p w14:paraId="144DC7A6" w14:textId="77777777" w:rsidR="000D3611" w:rsidRPr="0070601B" w:rsidRDefault="000D3611" w:rsidP="000D3611">
      <w:pPr>
        <w:pStyle w:val="AOENumberedList"/>
        <w:numPr>
          <w:ilvl w:val="0"/>
          <w:numId w:val="0"/>
        </w:numPr>
        <w:ind w:left="360" w:firstLine="360"/>
      </w:pPr>
    </w:p>
    <w:p w14:paraId="5799FF39" w14:textId="77777777" w:rsidR="0070601B" w:rsidRPr="0070601B" w:rsidRDefault="0070601B" w:rsidP="0089256F">
      <w:pPr>
        <w:pStyle w:val="AOENumberedList"/>
      </w:pPr>
      <w:r w:rsidRPr="0070601B">
        <w:t>Does the non-profit, non-public SCHOOL provide ELEMENTARY (including PreK) or SECONDARY education?</w:t>
      </w:r>
    </w:p>
    <w:p w14:paraId="49E118DB" w14:textId="77777777" w:rsidR="0070601B" w:rsidRPr="0070601B" w:rsidRDefault="0070601B" w:rsidP="000D3611">
      <w:pPr>
        <w:pStyle w:val="AOENumberedList"/>
        <w:numPr>
          <w:ilvl w:val="0"/>
          <w:numId w:val="0"/>
        </w:numPr>
        <w:ind w:left="360"/>
      </w:pPr>
      <w:r w:rsidRPr="0070601B">
        <w:t>[34 CFR 300.13 and 300.36] and [16 VSA 11(a)(30) and 16 VSA 11 (a)(5)]</w:t>
      </w:r>
    </w:p>
    <w:p w14:paraId="5B8359A8" w14:textId="77777777" w:rsidR="0070601B" w:rsidRPr="0070601B" w:rsidRDefault="0070601B" w:rsidP="000D3611">
      <w:pPr>
        <w:pStyle w:val="AOENumberedList"/>
        <w:numPr>
          <w:ilvl w:val="0"/>
          <w:numId w:val="0"/>
        </w:numPr>
        <w:ind w:left="360" w:firstLine="360"/>
      </w:pPr>
      <w:r w:rsidRPr="0070601B">
        <w:t>Yes – Proceed to next question</w:t>
      </w:r>
    </w:p>
    <w:p w14:paraId="5913628A" w14:textId="77777777" w:rsidR="0070601B" w:rsidRDefault="0070601B" w:rsidP="000D3611">
      <w:pPr>
        <w:pStyle w:val="AOENumberedList"/>
        <w:numPr>
          <w:ilvl w:val="0"/>
          <w:numId w:val="0"/>
        </w:numPr>
        <w:ind w:left="360" w:firstLine="360"/>
      </w:pPr>
      <w:r w:rsidRPr="0070601B">
        <w:t>No – Prop Share is not applicable</w:t>
      </w:r>
    </w:p>
    <w:p w14:paraId="628565FB" w14:textId="77777777" w:rsidR="000D3611" w:rsidRPr="0070601B" w:rsidRDefault="000D3611" w:rsidP="000D3611">
      <w:pPr>
        <w:pStyle w:val="AOENumberedList"/>
        <w:numPr>
          <w:ilvl w:val="0"/>
          <w:numId w:val="0"/>
        </w:numPr>
        <w:ind w:left="360" w:firstLine="360"/>
      </w:pPr>
    </w:p>
    <w:p w14:paraId="57B8202C" w14:textId="77777777" w:rsidR="0070601B" w:rsidRPr="0070601B" w:rsidRDefault="0070601B" w:rsidP="0089256F">
      <w:pPr>
        <w:pStyle w:val="AOENumberedList"/>
      </w:pPr>
      <w:r w:rsidRPr="0070601B">
        <w:t>Does the child receive special education services through an Individualized Education Program (IEP)?</w:t>
      </w:r>
    </w:p>
    <w:p w14:paraId="4DB7223B" w14:textId="77777777" w:rsidR="0070601B" w:rsidRPr="0070601B" w:rsidRDefault="0070601B" w:rsidP="000D3611">
      <w:pPr>
        <w:pStyle w:val="AOENumberedList"/>
        <w:numPr>
          <w:ilvl w:val="0"/>
          <w:numId w:val="0"/>
        </w:numPr>
        <w:ind w:left="360" w:firstLine="360"/>
      </w:pPr>
      <w:r w:rsidRPr="0070601B">
        <w:t xml:space="preserve">Yes – Prop Share is not applicable </w:t>
      </w:r>
    </w:p>
    <w:p w14:paraId="05A92101" w14:textId="77777777" w:rsidR="0070601B" w:rsidRDefault="0070601B" w:rsidP="000D3611">
      <w:pPr>
        <w:pStyle w:val="AOENumberedList"/>
        <w:numPr>
          <w:ilvl w:val="0"/>
          <w:numId w:val="0"/>
        </w:numPr>
        <w:ind w:left="360" w:firstLine="360"/>
      </w:pPr>
      <w:r w:rsidRPr="0070601B">
        <w:t>No – Proceed to next question</w:t>
      </w:r>
    </w:p>
    <w:p w14:paraId="2D9EE5BB" w14:textId="77777777" w:rsidR="000D3611" w:rsidRPr="0070601B" w:rsidRDefault="000D3611" w:rsidP="000D3611">
      <w:pPr>
        <w:pStyle w:val="AOENumberedList"/>
        <w:numPr>
          <w:ilvl w:val="0"/>
          <w:numId w:val="0"/>
        </w:numPr>
        <w:ind w:left="360" w:firstLine="360"/>
      </w:pPr>
    </w:p>
    <w:p w14:paraId="4463E899" w14:textId="77777777" w:rsidR="0070601B" w:rsidRPr="0070601B" w:rsidRDefault="0070601B" w:rsidP="0089256F">
      <w:pPr>
        <w:pStyle w:val="AOENumberedList"/>
      </w:pPr>
      <w:r w:rsidRPr="0070601B">
        <w:t>Has there been meaningful consultation with representatives of non-profit, non-public schools and home study parents?</w:t>
      </w:r>
    </w:p>
    <w:p w14:paraId="47DF0920" w14:textId="77777777" w:rsidR="0070601B" w:rsidRPr="0070601B" w:rsidRDefault="0070601B" w:rsidP="000D3611">
      <w:pPr>
        <w:pStyle w:val="AOENumberedList"/>
        <w:numPr>
          <w:ilvl w:val="0"/>
          <w:numId w:val="0"/>
        </w:numPr>
        <w:ind w:left="360"/>
      </w:pPr>
      <w:r w:rsidRPr="0070601B">
        <w:t>[34 CFR 300.134]</w:t>
      </w:r>
    </w:p>
    <w:p w14:paraId="526DFEC5" w14:textId="77777777" w:rsidR="0070601B" w:rsidRPr="0070601B" w:rsidRDefault="0070601B" w:rsidP="000D3611">
      <w:pPr>
        <w:pStyle w:val="AOENumberedList"/>
        <w:numPr>
          <w:ilvl w:val="0"/>
          <w:numId w:val="0"/>
        </w:numPr>
        <w:ind w:left="360" w:firstLine="360"/>
      </w:pPr>
      <w:r w:rsidRPr="0070601B">
        <w:t>Yes – Complete appropriate documentation annually</w:t>
      </w:r>
    </w:p>
    <w:p w14:paraId="60D3A5DA" w14:textId="77777777" w:rsidR="0070601B" w:rsidRPr="0070601B" w:rsidRDefault="0070601B" w:rsidP="000D3611">
      <w:pPr>
        <w:pStyle w:val="AOENumberedList"/>
        <w:numPr>
          <w:ilvl w:val="0"/>
          <w:numId w:val="0"/>
        </w:numPr>
        <w:ind w:left="360" w:firstLine="360"/>
      </w:pPr>
      <w:r w:rsidRPr="0070601B">
        <w:t>No – Plan and Conduct Consultation as soon as practical</w:t>
      </w:r>
    </w:p>
    <w:p w14:paraId="328E97AE" w14:textId="77777777" w:rsidR="0070601B" w:rsidRPr="0070601B" w:rsidRDefault="0070601B" w:rsidP="0070601B">
      <w:pPr>
        <w:spacing w:before="0" w:after="0" w:line="240" w:lineRule="auto"/>
        <w:rPr>
          <w:rFonts w:ascii="Franklin Gothic Demi Cond" w:hAnsi="Franklin Gothic Demi Cond" w:cs="Times New Roman"/>
          <w:bCs w:val="0"/>
        </w:rPr>
      </w:pPr>
    </w:p>
    <w:p w14:paraId="235DAEE0" w14:textId="77777777" w:rsidR="0070601B" w:rsidRPr="0070601B" w:rsidRDefault="0070601B" w:rsidP="0070601B">
      <w:pPr>
        <w:spacing w:before="0" w:after="0" w:line="240" w:lineRule="auto"/>
        <w:rPr>
          <w:rFonts w:ascii="Franklin Gothic Demi Cond" w:hAnsi="Franklin Gothic Demi Cond" w:cs="Times New Roman"/>
          <w:bCs w:val="0"/>
        </w:rPr>
      </w:pPr>
    </w:p>
    <w:p w14:paraId="5C0A97D9" w14:textId="77777777" w:rsidR="0070601B" w:rsidRPr="0070601B" w:rsidRDefault="0070601B" w:rsidP="0070601B">
      <w:pPr>
        <w:spacing w:before="0" w:after="0" w:line="240" w:lineRule="auto"/>
        <w:rPr>
          <w:rFonts w:ascii="Franklin Gothic Demi Cond" w:hAnsi="Franklin Gothic Demi Cond" w:cs="Times New Roman"/>
          <w:bCs w:val="0"/>
        </w:rPr>
      </w:pPr>
    </w:p>
    <w:p w14:paraId="1D703CD2" w14:textId="77777777" w:rsidR="0070601B" w:rsidRPr="0070601B" w:rsidRDefault="0070601B" w:rsidP="0070601B">
      <w:pPr>
        <w:spacing w:before="0" w:after="0" w:line="240" w:lineRule="auto"/>
        <w:rPr>
          <w:rFonts w:ascii="Franklin Gothic Demi Cond" w:hAnsi="Franklin Gothic Demi Cond" w:cs="Times New Roman"/>
          <w:bCs w:val="0"/>
        </w:rPr>
      </w:pPr>
    </w:p>
    <w:p w14:paraId="75DA07B9" w14:textId="77777777" w:rsidR="0070601B" w:rsidRPr="0070601B" w:rsidRDefault="0070601B" w:rsidP="0070601B">
      <w:pPr>
        <w:spacing w:before="0" w:after="0" w:line="240" w:lineRule="auto"/>
        <w:rPr>
          <w:rFonts w:ascii="Franklin Gothic Demi Cond" w:hAnsi="Franklin Gothic Demi Cond" w:cs="Times New Roman"/>
          <w:bCs w:val="0"/>
        </w:rPr>
      </w:pPr>
    </w:p>
    <w:p w14:paraId="48673054" w14:textId="77777777" w:rsidR="0070601B" w:rsidRPr="0070601B" w:rsidRDefault="0070601B" w:rsidP="0070601B">
      <w:pPr>
        <w:spacing w:before="0" w:after="0" w:line="240" w:lineRule="auto"/>
        <w:rPr>
          <w:rFonts w:ascii="Franklin Gothic Demi Cond" w:hAnsi="Franklin Gothic Demi Cond" w:cs="Times New Roman"/>
          <w:bCs w:val="0"/>
        </w:rPr>
      </w:pPr>
    </w:p>
    <w:p w14:paraId="39B5E48D" w14:textId="6B3A5C4D" w:rsidR="004B4EB6" w:rsidRDefault="004B4EB6">
      <w:pPr>
        <w:spacing w:before="0" w:after="200" w:line="276" w:lineRule="auto"/>
        <w:rPr>
          <w:rFonts w:ascii="Franklin Gothic Demi Cond" w:hAnsi="Franklin Gothic Demi Cond" w:cs="Times New Roman"/>
          <w:bCs w:val="0"/>
        </w:rPr>
      </w:pPr>
      <w:r>
        <w:rPr>
          <w:rFonts w:ascii="Franklin Gothic Demi Cond" w:hAnsi="Franklin Gothic Demi Cond" w:cs="Times New Roman"/>
          <w:bCs w:val="0"/>
        </w:rPr>
        <w:br w:type="page"/>
      </w:r>
    </w:p>
    <w:p w14:paraId="38F3E6AA" w14:textId="77777777" w:rsidR="0070601B" w:rsidRPr="0070601B" w:rsidRDefault="0070601B" w:rsidP="0070601B">
      <w:pPr>
        <w:spacing w:before="0" w:after="0" w:line="240" w:lineRule="auto"/>
        <w:rPr>
          <w:rFonts w:ascii="Franklin Gothic Demi Cond" w:hAnsi="Franklin Gothic Demi Cond" w:cs="Times New Roman"/>
          <w:bCs w:val="0"/>
        </w:rPr>
      </w:pPr>
    </w:p>
    <w:p w14:paraId="120DCD7E" w14:textId="77777777" w:rsidR="0070601B" w:rsidRPr="0070601B" w:rsidRDefault="0070601B" w:rsidP="0070601B">
      <w:pPr>
        <w:spacing w:before="0" w:after="0" w:line="240" w:lineRule="auto"/>
        <w:rPr>
          <w:rFonts w:ascii="Franklin Gothic Demi Cond" w:hAnsi="Franklin Gothic Demi Cond" w:cs="Times New Roman"/>
          <w:bCs w:val="0"/>
        </w:rPr>
      </w:pPr>
    </w:p>
    <w:p w14:paraId="36910D33" w14:textId="77777777" w:rsidR="0070601B" w:rsidRPr="0070601B" w:rsidRDefault="0070601B" w:rsidP="0070601B">
      <w:pPr>
        <w:spacing w:before="0" w:after="0" w:line="240" w:lineRule="auto"/>
        <w:rPr>
          <w:rFonts w:ascii="Franklin Gothic Demi Cond" w:hAnsi="Franklin Gothic Demi Cond" w:cs="Times New Roman"/>
          <w:bCs w:val="0"/>
        </w:rPr>
      </w:pPr>
    </w:p>
    <w:p w14:paraId="75B440BB" w14:textId="77777777" w:rsidR="0070601B" w:rsidRPr="0070601B" w:rsidRDefault="0070601B" w:rsidP="00BF2157">
      <w:pPr>
        <w:pStyle w:val="Heading2"/>
        <w:rPr>
          <w:bCs/>
        </w:rPr>
      </w:pPr>
      <w:r w:rsidRPr="0070601B">
        <w:t xml:space="preserve">Figure </w:t>
      </w:r>
      <w:fldSimple w:instr=" SEQ Figure \* ARABIC ">
        <w:r w:rsidRPr="0070601B">
          <w:t>1</w:t>
        </w:r>
      </w:fldSimple>
      <w:r w:rsidRPr="0070601B">
        <w:t xml:space="preserve"> - Proportionate Share Decision Tree Infographic</w:t>
      </w:r>
    </w:p>
    <w:p w14:paraId="1F2432A8" w14:textId="77777777" w:rsidR="0070601B" w:rsidRPr="0070601B" w:rsidRDefault="0070601B" w:rsidP="0070601B">
      <w:pPr>
        <w:spacing w:before="0" w:after="0" w:line="240" w:lineRule="auto"/>
        <w:rPr>
          <w:rFonts w:cs="Times New Roman"/>
          <w:bCs w:val="0"/>
        </w:rPr>
      </w:pPr>
      <w:r w:rsidRPr="0070601B">
        <w:rPr>
          <w:rFonts w:cs="Times New Roman"/>
          <w:bCs w:val="0"/>
          <w:noProof/>
        </w:rPr>
        <w:drawing>
          <wp:inline distT="0" distB="0" distL="0" distR="0" wp14:anchorId="3B2868DF" wp14:editId="06752F94">
            <wp:extent cx="5951220" cy="4820716"/>
            <wp:effectExtent l="19050" t="19050" r="11430" b="18415"/>
            <wp:docPr id="1" name="Picture 1" descr="Image depicting a flowchart with decision tree questions 1-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 depicting a flowchart with decision tree questions 1-5. "/>
                    <pic:cNvPicPr/>
                  </pic:nvPicPr>
                  <pic:blipFill>
                    <a:blip r:embed="rId40"/>
                    <a:stretch>
                      <a:fillRect/>
                    </a:stretch>
                  </pic:blipFill>
                  <pic:spPr>
                    <a:xfrm>
                      <a:off x="0" y="0"/>
                      <a:ext cx="6078365" cy="4923708"/>
                    </a:xfrm>
                    <a:prstGeom prst="rect">
                      <a:avLst/>
                    </a:prstGeom>
                    <a:ln>
                      <a:solidFill>
                        <a:srgbClr val="92D050"/>
                      </a:solidFill>
                    </a:ln>
                  </pic:spPr>
                </pic:pic>
              </a:graphicData>
            </a:graphic>
          </wp:inline>
        </w:drawing>
      </w:r>
    </w:p>
    <w:p w14:paraId="4AB82016" w14:textId="77777777" w:rsidR="0070601B" w:rsidRPr="0070601B" w:rsidRDefault="0070601B" w:rsidP="00BF2157">
      <w:pPr>
        <w:pStyle w:val="Heading2"/>
        <w:rPr>
          <w:bCs/>
        </w:rPr>
      </w:pPr>
      <w:r w:rsidRPr="0070601B">
        <w:t xml:space="preserve">Elementary School </w:t>
      </w:r>
    </w:p>
    <w:p w14:paraId="14B3C9A8" w14:textId="77777777" w:rsidR="0070601B" w:rsidRPr="0070601B" w:rsidRDefault="0070601B" w:rsidP="00A17AA9">
      <w:pPr>
        <w:spacing w:before="0" w:after="240" w:line="240" w:lineRule="auto"/>
        <w:rPr>
          <w:rFonts w:cs="Times New Roman"/>
          <w:bCs w:val="0"/>
        </w:rPr>
      </w:pPr>
      <w:r w:rsidRPr="0070601B">
        <w:rPr>
          <w:rFonts w:cs="Times New Roman"/>
          <w:bCs w:val="0"/>
        </w:rPr>
        <w:t>Means a non-profit institutional day or residential school, including a public elementary charter school, that provides elementary education, as determined under State law.</w:t>
      </w:r>
      <w:r w:rsidRPr="0070601B">
        <w:rPr>
          <w:rFonts w:ascii="Times New Roman" w:hAnsi="Times New Roman" w:cs="Times New Roman"/>
          <w:bCs w:val="0"/>
        </w:rPr>
        <w:t xml:space="preserve"> </w:t>
      </w:r>
      <w:r w:rsidRPr="0070601B">
        <w:rPr>
          <w:rFonts w:cs="Times New Roman"/>
          <w:bCs w:val="0"/>
        </w:rPr>
        <w:t>[</w:t>
      </w:r>
      <w:hyperlink r:id="rId41" w:history="1">
        <w:r w:rsidRPr="0070601B">
          <w:rPr>
            <w:rFonts w:cs="Times New Roman"/>
            <w:bCs w:val="0"/>
            <w:color w:val="0000FF"/>
            <w:u w:val="single"/>
          </w:rPr>
          <w:t>34 CFR 300.13</w:t>
        </w:r>
      </w:hyperlink>
      <w:r w:rsidRPr="0070601B">
        <w:rPr>
          <w:rFonts w:cs="Times New Roman"/>
          <w:bCs w:val="0"/>
        </w:rPr>
        <w:t>]</w:t>
      </w:r>
    </w:p>
    <w:p w14:paraId="504BE774" w14:textId="77777777" w:rsidR="0070601B" w:rsidRPr="0070601B" w:rsidRDefault="0070601B" w:rsidP="00BF2157">
      <w:pPr>
        <w:pStyle w:val="Heading2"/>
        <w:rPr>
          <w:bCs/>
        </w:rPr>
      </w:pPr>
      <w:r w:rsidRPr="0070601B">
        <w:t xml:space="preserve">Elementary Education </w:t>
      </w:r>
    </w:p>
    <w:p w14:paraId="0AFB3A8A" w14:textId="77777777" w:rsidR="0070601B" w:rsidRPr="0070601B" w:rsidRDefault="0070601B" w:rsidP="00CC381D">
      <w:pPr>
        <w:spacing w:before="0" w:after="240" w:line="240" w:lineRule="auto"/>
        <w:rPr>
          <w:rFonts w:cs="Times New Roman"/>
          <w:bCs w:val="0"/>
        </w:rPr>
      </w:pPr>
      <w:r w:rsidRPr="0070601B">
        <w:rPr>
          <w:rFonts w:cs="Times New Roman"/>
          <w:bCs w:val="0"/>
        </w:rPr>
        <w:t>Means a program of public-school education adapted to the needs of students in prekindergarten, kindergarten, and the first six grades. [</w:t>
      </w:r>
      <w:hyperlink r:id="rId42" w:history="1">
        <w:r w:rsidRPr="0070601B">
          <w:rPr>
            <w:rFonts w:cs="Times New Roman"/>
            <w:bCs w:val="0"/>
            <w:color w:val="0000FF"/>
            <w:u w:val="single"/>
          </w:rPr>
          <w:t>16 VSA 11(a)(3)</w:t>
        </w:r>
      </w:hyperlink>
      <w:r w:rsidRPr="0070601B">
        <w:rPr>
          <w:rFonts w:cs="Times New Roman"/>
          <w:bCs w:val="0"/>
        </w:rPr>
        <w:t>]</w:t>
      </w:r>
    </w:p>
    <w:p w14:paraId="63017B19" w14:textId="77777777" w:rsidR="0070601B" w:rsidRPr="0070601B" w:rsidRDefault="0070601B" w:rsidP="00BF2157">
      <w:pPr>
        <w:pStyle w:val="Heading2"/>
        <w:rPr>
          <w:bCs/>
        </w:rPr>
      </w:pPr>
      <w:r w:rsidRPr="0070601B">
        <w:t>Early Childhood Education</w:t>
      </w:r>
    </w:p>
    <w:p w14:paraId="4ADC6C69" w14:textId="77777777" w:rsidR="0070601B" w:rsidRPr="0070601B" w:rsidRDefault="0070601B" w:rsidP="00CC381D">
      <w:pPr>
        <w:spacing w:before="0" w:line="240" w:lineRule="auto"/>
        <w:rPr>
          <w:rFonts w:cs="Times New Roman"/>
          <w:bCs w:val="0"/>
        </w:rPr>
      </w:pPr>
      <w:r w:rsidRPr="0070601B">
        <w:rPr>
          <w:rFonts w:cs="Times New Roman"/>
          <w:bCs w:val="0"/>
        </w:rPr>
        <w:t>Early education or prekindergarten means services designed to provide developmentally appropriate early development and learning experiences based on Vermont’s early learning standards to children who are three to four years of age and to five-year old children who are not eligible for or enrolled in kindergarten. [</w:t>
      </w:r>
      <w:hyperlink r:id="rId43" w:history="1">
        <w:r w:rsidRPr="0070601B">
          <w:rPr>
            <w:rFonts w:cs="Times New Roman"/>
            <w:bCs w:val="0"/>
            <w:color w:val="0000FF"/>
            <w:u w:val="single"/>
          </w:rPr>
          <w:t>16 VSA(a)(31)</w:t>
        </w:r>
      </w:hyperlink>
      <w:r w:rsidRPr="0070601B">
        <w:rPr>
          <w:rFonts w:cs="Times New Roman"/>
          <w:bCs w:val="0"/>
        </w:rPr>
        <w:t>]</w:t>
      </w:r>
    </w:p>
    <w:p w14:paraId="0537DB6E" w14:textId="6C8B4A1D" w:rsidR="0070601B" w:rsidRPr="0070601B" w:rsidRDefault="0070601B" w:rsidP="00CC381D">
      <w:pPr>
        <w:spacing w:before="0" w:line="240" w:lineRule="auto"/>
        <w:rPr>
          <w:rFonts w:ascii="Franklin Gothic Demi Cond" w:hAnsi="Franklin Gothic Demi Cond" w:cs="Times New Roman"/>
          <w:bCs w:val="0"/>
        </w:rPr>
      </w:pPr>
      <w:r w:rsidRPr="0070601B">
        <w:rPr>
          <w:rFonts w:cs="Times New Roman"/>
          <w:bCs w:val="0"/>
        </w:rPr>
        <w:lastRenderedPageBreak/>
        <w:t xml:space="preserve">For preschool-aged students (3-5), only those who attend a private preschool program meeting the definition of an elementary school under the law may be included. Because stand-alone private prekindergarten education programs and private childcare centers do not provide “elementary education” consistent with the federal definition of elementary schools, they are not included in the district’s proportionate share child count. </w:t>
      </w:r>
    </w:p>
    <w:p w14:paraId="4AE9B1EC" w14:textId="77777777" w:rsidR="0070601B" w:rsidRPr="0070601B" w:rsidRDefault="0070601B" w:rsidP="00BF2157">
      <w:pPr>
        <w:pStyle w:val="Heading2"/>
        <w:rPr>
          <w:bCs/>
        </w:rPr>
      </w:pPr>
      <w:r w:rsidRPr="0070601B">
        <w:t>Independent School</w:t>
      </w:r>
    </w:p>
    <w:p w14:paraId="025B95F6" w14:textId="77777777" w:rsidR="0070601B" w:rsidRPr="0070601B" w:rsidRDefault="0070601B" w:rsidP="00CC381D">
      <w:pPr>
        <w:spacing w:before="0" w:after="240" w:line="240" w:lineRule="auto"/>
        <w:rPr>
          <w:rFonts w:cs="Times New Roman"/>
          <w:bCs w:val="0"/>
        </w:rPr>
      </w:pPr>
      <w:r w:rsidRPr="0070601B">
        <w:rPr>
          <w:rFonts w:cs="Times New Roman"/>
          <w:bCs w:val="0"/>
        </w:rPr>
        <w:t>Means a school or other than a public school which provides a program of elementary or secondary education or both. [</w:t>
      </w:r>
      <w:hyperlink r:id="rId44" w:history="1">
        <w:r w:rsidRPr="0070601B">
          <w:rPr>
            <w:rFonts w:cs="Times New Roman"/>
            <w:bCs w:val="0"/>
            <w:color w:val="0000FF"/>
            <w:u w:val="single"/>
          </w:rPr>
          <w:t>16 VSA (a)(8)</w:t>
        </w:r>
      </w:hyperlink>
      <w:r w:rsidRPr="0070601B">
        <w:rPr>
          <w:rFonts w:cs="Times New Roman"/>
          <w:bCs w:val="0"/>
        </w:rPr>
        <w:t>]</w:t>
      </w:r>
    </w:p>
    <w:p w14:paraId="0E94AF13" w14:textId="77777777" w:rsidR="0070601B" w:rsidRPr="0070601B" w:rsidRDefault="0070601B" w:rsidP="00BF2157">
      <w:pPr>
        <w:pStyle w:val="Heading2"/>
        <w:rPr>
          <w:bCs/>
        </w:rPr>
      </w:pPr>
      <w:r w:rsidRPr="0070601B">
        <w:t>Home Study</w:t>
      </w:r>
    </w:p>
    <w:p w14:paraId="790D21ED" w14:textId="77777777" w:rsidR="0070601B" w:rsidRPr="0070601B" w:rsidRDefault="0070601B" w:rsidP="00CC381D">
      <w:pPr>
        <w:spacing w:before="0" w:after="240" w:line="240" w:lineRule="auto"/>
        <w:rPr>
          <w:rFonts w:cs="Times New Roman"/>
          <w:bCs w:val="0"/>
          <w:color w:val="0070C0"/>
        </w:rPr>
      </w:pPr>
      <w:r w:rsidRPr="0070601B">
        <w:rPr>
          <w:rFonts w:cs="Times New Roman"/>
          <w:bCs w:val="0"/>
        </w:rPr>
        <w:t>Enrolled pursuant [</w:t>
      </w:r>
      <w:hyperlink r:id="rId45" w:history="1">
        <w:r w:rsidRPr="0070601B">
          <w:rPr>
            <w:rFonts w:cs="Times New Roman"/>
            <w:bCs w:val="0"/>
            <w:color w:val="0000FF"/>
            <w:u w:val="single"/>
          </w:rPr>
          <w:t>16 VSA 166(b)</w:t>
        </w:r>
      </w:hyperlink>
      <w:r w:rsidRPr="0070601B">
        <w:rPr>
          <w:rFonts w:cs="Times New Roman"/>
          <w:bCs w:val="0"/>
        </w:rPr>
        <w:t>]</w:t>
      </w:r>
    </w:p>
    <w:p w14:paraId="07DB7085" w14:textId="77777777" w:rsidR="0070601B" w:rsidRPr="0070601B" w:rsidRDefault="0070601B" w:rsidP="00BF2157">
      <w:pPr>
        <w:pStyle w:val="Heading2"/>
        <w:rPr>
          <w:bCs/>
        </w:rPr>
      </w:pPr>
      <w:r w:rsidRPr="0070601B">
        <w:t>Non-public School</w:t>
      </w:r>
    </w:p>
    <w:p w14:paraId="087855B1" w14:textId="77777777" w:rsidR="0070601B" w:rsidRPr="0070601B" w:rsidRDefault="0070601B" w:rsidP="00CC381D">
      <w:pPr>
        <w:spacing w:before="0" w:after="0" w:line="240" w:lineRule="auto"/>
        <w:rPr>
          <w:rFonts w:cs="Times New Roman"/>
          <w:bCs w:val="0"/>
        </w:rPr>
      </w:pPr>
      <w:r w:rsidRPr="0070601B">
        <w:rPr>
          <w:rFonts w:cs="Times New Roman"/>
          <w:bCs w:val="0"/>
        </w:rPr>
        <w:t xml:space="preserve">Vermont defines non-public school as independent (secular, and non-secular) schools, as well as home study programs. </w:t>
      </w:r>
    </w:p>
    <w:p w14:paraId="0B7C23B2" w14:textId="77777777" w:rsidR="0070601B" w:rsidRPr="0070601B" w:rsidRDefault="0070601B" w:rsidP="0070601B">
      <w:pPr>
        <w:spacing w:before="0" w:after="0" w:line="240" w:lineRule="auto"/>
        <w:rPr>
          <w:rFonts w:cs="Times New Roman"/>
          <w:bCs w:val="0"/>
          <w:highlight w:val="cyan"/>
        </w:rPr>
      </w:pPr>
      <w:r w:rsidRPr="0070601B">
        <w:rPr>
          <w:rFonts w:cs="Times New Roman"/>
          <w:bCs w:val="0"/>
          <w:highlight w:val="cyan"/>
        </w:rPr>
        <w:br w:type="page"/>
      </w:r>
    </w:p>
    <w:p w14:paraId="34722693" w14:textId="77777777" w:rsidR="0070601B" w:rsidRPr="0070601B" w:rsidRDefault="0070601B" w:rsidP="00BF2157">
      <w:pPr>
        <w:pStyle w:val="Title"/>
        <w:rPr>
          <w:rFonts w:eastAsia="Yu Gothic Light"/>
        </w:rPr>
      </w:pPr>
      <w:r w:rsidRPr="0070601B">
        <w:rPr>
          <w:rFonts w:eastAsia="Yu Gothic Light"/>
        </w:rPr>
        <w:lastRenderedPageBreak/>
        <w:t>Appendix B – Frequently Asked Questions</w:t>
      </w:r>
    </w:p>
    <w:p w14:paraId="10263B22" w14:textId="77777777" w:rsidR="00E75566" w:rsidRDefault="00E75566" w:rsidP="0070601B">
      <w:pPr>
        <w:spacing w:before="0" w:after="0" w:line="240" w:lineRule="auto"/>
        <w:rPr>
          <w:rFonts w:cs="Times New Roman"/>
          <w:b/>
        </w:rPr>
      </w:pPr>
    </w:p>
    <w:p w14:paraId="1A3EB71D" w14:textId="58BB4D85" w:rsidR="0070601B" w:rsidRPr="00BF2157" w:rsidRDefault="0070601B" w:rsidP="00BF2157">
      <w:pPr>
        <w:rPr>
          <w:bCs w:val="0"/>
        </w:rPr>
      </w:pPr>
      <w:r w:rsidRPr="00BF2157">
        <w:rPr>
          <w:bCs w:val="0"/>
        </w:rPr>
        <w:t xml:space="preserve">Question: Are LEAs required to expend equal appropriation of funds to each identified parentally placed student? </w:t>
      </w:r>
    </w:p>
    <w:p w14:paraId="7303819D" w14:textId="3D6B00F9" w:rsidR="0070601B" w:rsidRPr="00BF2157" w:rsidRDefault="0070601B" w:rsidP="00BF2157">
      <w:pPr>
        <w:rPr>
          <w:rFonts w:eastAsia="Palatino Linotype" w:cs="Palatino Linotype"/>
          <w:bCs w:val="0"/>
        </w:rPr>
      </w:pPr>
      <w:r w:rsidRPr="00BF2157">
        <w:rPr>
          <w:rFonts w:eastAsia="Palatino Linotype" w:cs="Palatino Linotype"/>
          <w:bCs w:val="0"/>
        </w:rPr>
        <w:t>Answer: No. Appropriation of funds are determined by the disability and needs of each student. LEAs must discuss how such services will be apportioned if funds are insufficient to serve all children, and how and when these decisions will be made. For additional information, see Form 10 - Written Affirmation Statement and Form 10b -LEA Certification for IDEA Proportionate Share Requirements.</w:t>
      </w:r>
    </w:p>
    <w:p w14:paraId="01DFC29D" w14:textId="77777777" w:rsidR="00E75566" w:rsidRPr="00BF2157" w:rsidRDefault="00E75566" w:rsidP="00BF2157">
      <w:pPr>
        <w:rPr>
          <w:bCs w:val="0"/>
        </w:rPr>
      </w:pPr>
    </w:p>
    <w:p w14:paraId="68905912" w14:textId="280066BB" w:rsidR="0070601B" w:rsidRPr="00BF2157" w:rsidRDefault="0070601B" w:rsidP="00BF2157">
      <w:pPr>
        <w:rPr>
          <w:bCs w:val="0"/>
        </w:rPr>
      </w:pPr>
      <w:r w:rsidRPr="00BF2157">
        <w:rPr>
          <w:bCs w:val="0"/>
        </w:rPr>
        <w:t>Question: Are LEAs able to spend additional funds if the IDEA Proportionate Share amount does not provide adequate services to identified parentally placed students?</w:t>
      </w:r>
    </w:p>
    <w:p w14:paraId="04B5FD41" w14:textId="535A890A" w:rsidR="0070601B" w:rsidRPr="00BF2157" w:rsidRDefault="0070601B" w:rsidP="00BF2157">
      <w:pPr>
        <w:rPr>
          <w:rFonts w:eastAsia="Palatino Linotype" w:cs="Palatino Linotype"/>
          <w:bCs w:val="0"/>
        </w:rPr>
      </w:pPr>
      <w:r w:rsidRPr="00BF2157">
        <w:rPr>
          <w:rFonts w:eastAsia="Palatino Linotype" w:cs="Palatino Linotype"/>
          <w:bCs w:val="0"/>
        </w:rPr>
        <w:t xml:space="preserve">Answer: Yes, per 2368.1.2 Child-Count </w:t>
      </w:r>
      <w:hyperlink r:id="rId46" w:anchor="se34.2.300_1133">
        <w:r w:rsidRPr="00BF2157">
          <w:rPr>
            <w:rFonts w:eastAsia="Palatino Linotype" w:cs="Palatino Linotype"/>
            <w:bCs w:val="0"/>
          </w:rPr>
          <w:t>(</w:t>
        </w:r>
        <w:r w:rsidRPr="00BF2157">
          <w:rPr>
            <w:rFonts w:eastAsia="Palatino Linotype" w:cs="Palatino Linotype"/>
            <w:bCs w:val="0"/>
            <w:color w:val="0000FF"/>
            <w:u w:val="single"/>
          </w:rPr>
          <w:t>34 CFR §300.133(c)</w:t>
        </w:r>
        <w:r w:rsidRPr="00BF2157">
          <w:rPr>
            <w:rFonts w:eastAsia="Palatino Linotype" w:cs="Palatino Linotype"/>
            <w:bCs w:val="0"/>
          </w:rPr>
          <w:t>)</w:t>
        </w:r>
      </w:hyperlink>
      <w:r w:rsidRPr="00BF2157">
        <w:rPr>
          <w:rFonts w:eastAsia="Palatino Linotype" w:cs="Palatino Linotype"/>
          <w:bCs w:val="0"/>
        </w:rPr>
        <w:t xml:space="preserve"> section (c) Supplement, not supplant. Local funds may supplement and in no case supplant the proportionate amount of IDEA-B flow through funds required to be expended for independent school and home study children who are eligible for special education.</w:t>
      </w:r>
    </w:p>
    <w:p w14:paraId="4075BB46" w14:textId="77777777" w:rsidR="00E75566" w:rsidRPr="00BF2157" w:rsidRDefault="00E75566" w:rsidP="00BF2157">
      <w:pPr>
        <w:rPr>
          <w:bCs w:val="0"/>
        </w:rPr>
      </w:pPr>
    </w:p>
    <w:p w14:paraId="54C167CD" w14:textId="10196164" w:rsidR="0070601B" w:rsidRPr="00BF2157" w:rsidRDefault="0070601B" w:rsidP="00BF2157">
      <w:pPr>
        <w:rPr>
          <w:bCs w:val="0"/>
        </w:rPr>
      </w:pPr>
      <w:r w:rsidRPr="00BF2157">
        <w:rPr>
          <w:bCs w:val="0"/>
        </w:rPr>
        <w:t>Question: If we have forms already developed that include all components of the AOE forms, can we use them instead?</w:t>
      </w:r>
    </w:p>
    <w:p w14:paraId="1AB7FE5D" w14:textId="523C8FCC" w:rsidR="0070601B" w:rsidRPr="00BF2157" w:rsidRDefault="0070601B" w:rsidP="00BF2157">
      <w:pPr>
        <w:rPr>
          <w:rFonts w:ascii="Segoe UI" w:hAnsi="Segoe UI" w:cs="Segoe UI"/>
          <w:bCs w:val="0"/>
          <w:sz w:val="21"/>
          <w:szCs w:val="21"/>
        </w:rPr>
      </w:pPr>
      <w:r w:rsidRPr="00BF2157">
        <w:rPr>
          <w:rFonts w:eastAsia="Palatino Linotype" w:cs="Palatino Linotype"/>
          <w:bCs w:val="0"/>
        </w:rPr>
        <w:t>Answer: No. Although LEA developed forms may be used for gathering data useful to the LEA, the AOE will require use of its forms.</w:t>
      </w:r>
    </w:p>
    <w:p w14:paraId="1FA5F5ED" w14:textId="77777777" w:rsidR="0070601B" w:rsidRPr="0070601B" w:rsidRDefault="0070601B" w:rsidP="0070601B">
      <w:pPr>
        <w:spacing w:before="0" w:after="0" w:line="240" w:lineRule="auto"/>
        <w:rPr>
          <w:rFonts w:cs="Times New Roman"/>
          <w:bCs w:val="0"/>
        </w:rPr>
      </w:pPr>
    </w:p>
    <w:p w14:paraId="3CD84B28" w14:textId="77777777" w:rsidR="0070601B" w:rsidRPr="0070601B" w:rsidRDefault="0070601B" w:rsidP="0070601B">
      <w:pPr>
        <w:spacing w:before="0" w:after="0" w:line="240" w:lineRule="auto"/>
        <w:rPr>
          <w:rFonts w:cs="Times New Roman"/>
          <w:bCs w:val="0"/>
          <w:highlight w:val="yellow"/>
        </w:rPr>
      </w:pPr>
      <w:r w:rsidRPr="0070601B">
        <w:rPr>
          <w:rFonts w:cs="Times New Roman"/>
          <w:bCs w:val="0"/>
          <w:highlight w:val="yellow"/>
        </w:rPr>
        <w:br w:type="page"/>
      </w:r>
    </w:p>
    <w:p w14:paraId="50C81100" w14:textId="77777777" w:rsidR="0070601B" w:rsidRPr="0070601B" w:rsidRDefault="0070601B" w:rsidP="00BF2157">
      <w:pPr>
        <w:pStyle w:val="Title"/>
        <w:rPr>
          <w:rFonts w:eastAsia="Yu Gothic Light"/>
        </w:rPr>
      </w:pPr>
      <w:r w:rsidRPr="0070601B">
        <w:rPr>
          <w:rFonts w:eastAsia="Yu Gothic Light"/>
        </w:rPr>
        <w:lastRenderedPageBreak/>
        <w:t>Appendix C – Allowable Cost Examples</w:t>
      </w:r>
    </w:p>
    <w:p w14:paraId="2641142E" w14:textId="77777777" w:rsidR="0070601B" w:rsidRPr="0070601B" w:rsidRDefault="0070601B" w:rsidP="0070601B">
      <w:pPr>
        <w:spacing w:before="0" w:after="0" w:line="240" w:lineRule="auto"/>
        <w:ind w:left="720"/>
        <w:rPr>
          <w:rFonts w:cs="Times New Roman"/>
          <w:bCs w:val="0"/>
          <w:highlight w:val="cyan"/>
        </w:rPr>
      </w:pPr>
    </w:p>
    <w:p w14:paraId="29AFE0C2" w14:textId="77777777" w:rsidR="0070601B" w:rsidRPr="0070601B" w:rsidRDefault="0070601B" w:rsidP="00D63CBC">
      <w:pPr>
        <w:pStyle w:val="Heading1"/>
        <w:rPr>
          <w:rFonts w:eastAsia="Palatino Linotype"/>
          <w:bCs/>
        </w:rPr>
      </w:pPr>
      <w:r w:rsidRPr="0070601B">
        <w:rPr>
          <w:rFonts w:eastAsia="Palatino Linotype"/>
        </w:rPr>
        <w:t>IDEA Proportionate Share Allowable Costs</w:t>
      </w:r>
    </w:p>
    <w:p w14:paraId="5B4E4738" w14:textId="77777777" w:rsidR="0070601B" w:rsidRPr="0070601B" w:rsidRDefault="0070601B" w:rsidP="00D63CBC">
      <w:pPr>
        <w:rPr>
          <w:rFonts w:eastAsia="Palatino Linotype"/>
        </w:rPr>
      </w:pPr>
      <w:r w:rsidRPr="0070601B">
        <w:rPr>
          <w:rFonts w:eastAsia="Palatino Linotype"/>
        </w:rPr>
        <w:t xml:space="preserve">Costs that are allowable to meet the Proportionate Share requirement must be: </w:t>
      </w:r>
    </w:p>
    <w:p w14:paraId="650F19E4" w14:textId="7CB9778E" w:rsidR="0070601B" w:rsidRPr="00D63CBC" w:rsidRDefault="0070601B" w:rsidP="00D63CBC">
      <w:pPr>
        <w:pStyle w:val="AOENumberedList"/>
        <w:numPr>
          <w:ilvl w:val="0"/>
          <w:numId w:val="44"/>
        </w:numPr>
        <w:rPr>
          <w:rFonts w:eastAsia="Palatino Linotype"/>
        </w:rPr>
      </w:pPr>
      <w:r w:rsidRPr="00D63CBC">
        <w:rPr>
          <w:rFonts w:eastAsia="Palatino Linotype"/>
        </w:rPr>
        <w:t xml:space="preserve">Necessary to provide special education and related services to parentally placed child(ren) with disabilities. </w:t>
      </w:r>
    </w:p>
    <w:p w14:paraId="0F6124E9" w14:textId="77777777" w:rsidR="0070601B" w:rsidRPr="0070601B" w:rsidRDefault="0070601B" w:rsidP="00D63CBC">
      <w:pPr>
        <w:pStyle w:val="AOENumberedList"/>
        <w:rPr>
          <w:rFonts w:eastAsia="Palatino Linotype"/>
        </w:rPr>
      </w:pPr>
      <w:r w:rsidRPr="0070601B">
        <w:rPr>
          <w:rFonts w:eastAsia="Palatino Linotype"/>
        </w:rPr>
        <w:t>Reasonable, if, in their nature and amount, it does not exceed that which a prudent person would incur to provide special education and related services to parentally placed child(ren) with disabilities.</w:t>
      </w:r>
    </w:p>
    <w:p w14:paraId="1CD1B366" w14:textId="77777777" w:rsidR="0070601B" w:rsidRPr="0070601B" w:rsidRDefault="0070601B" w:rsidP="00D63CBC">
      <w:pPr>
        <w:pStyle w:val="AOENumberedList"/>
        <w:rPr>
          <w:rFonts w:eastAsia="Palatino Linotype"/>
        </w:rPr>
      </w:pPr>
      <w:r w:rsidRPr="0070601B">
        <w:rPr>
          <w:rFonts w:eastAsia="Palatino Linotype"/>
        </w:rPr>
        <w:t xml:space="preserve">Allocable or assignable to the benefit of </w:t>
      </w:r>
      <w:proofErr w:type="gramStart"/>
      <w:r w:rsidRPr="0070601B">
        <w:rPr>
          <w:rFonts w:eastAsia="Palatino Linotype"/>
        </w:rPr>
        <w:t>parentally-placed</w:t>
      </w:r>
      <w:proofErr w:type="gramEnd"/>
      <w:r w:rsidRPr="0070601B">
        <w:rPr>
          <w:rFonts w:eastAsia="Palatino Linotype"/>
        </w:rPr>
        <w:t xml:space="preserve"> child(ren) with disabilities. </w:t>
      </w:r>
    </w:p>
    <w:p w14:paraId="33DBFEBC" w14:textId="77777777" w:rsidR="0070601B" w:rsidRPr="0070601B" w:rsidRDefault="0070601B" w:rsidP="00D63CBC">
      <w:pPr>
        <w:pStyle w:val="AOENumberedList"/>
        <w:rPr>
          <w:rFonts w:eastAsia="Palatino Linotype"/>
        </w:rPr>
      </w:pPr>
      <w:r w:rsidRPr="0070601B">
        <w:rPr>
          <w:rFonts w:eastAsia="Palatino Linotype"/>
        </w:rPr>
        <w:t xml:space="preserve">Adequately documented and be clear that they are related to providing special education and related services to </w:t>
      </w:r>
      <w:proofErr w:type="gramStart"/>
      <w:r w:rsidRPr="0070601B">
        <w:rPr>
          <w:rFonts w:eastAsia="Palatino Linotype"/>
        </w:rPr>
        <w:t>parentally-placed</w:t>
      </w:r>
      <w:proofErr w:type="gramEnd"/>
      <w:r w:rsidRPr="0070601B">
        <w:rPr>
          <w:rFonts w:eastAsia="Palatino Linotype"/>
        </w:rPr>
        <w:t xml:space="preserve"> child(ren) with disabilities.</w:t>
      </w:r>
    </w:p>
    <w:p w14:paraId="19C8525C" w14:textId="77777777" w:rsidR="0070601B" w:rsidRPr="0070601B" w:rsidRDefault="0070601B" w:rsidP="0070601B">
      <w:pPr>
        <w:spacing w:before="0" w:after="0" w:line="240" w:lineRule="auto"/>
        <w:rPr>
          <w:rFonts w:eastAsia="Palatino Linotype" w:cs="Palatino Linotype"/>
          <w:bCs w:val="0"/>
        </w:rPr>
      </w:pPr>
    </w:p>
    <w:p w14:paraId="350C41A7" w14:textId="69FC7E56" w:rsidR="0070601B" w:rsidRPr="0070601B" w:rsidRDefault="0070601B" w:rsidP="00D63CBC">
      <w:pPr>
        <w:rPr>
          <w:rFonts w:eastAsia="Palatino Linotype"/>
        </w:rPr>
      </w:pPr>
      <w:r w:rsidRPr="0070601B">
        <w:rPr>
          <w:rFonts w:eastAsia="Palatino Linotype"/>
        </w:rPr>
        <w:t>Samples provided below</w:t>
      </w:r>
      <w:r w:rsidR="00687E86">
        <w:rPr>
          <w:rFonts w:eastAsia="Palatino Linotype"/>
        </w:rPr>
        <w:t>:</w:t>
      </w:r>
    </w:p>
    <w:tbl>
      <w:tblPr>
        <w:tblStyle w:val="TableGrid1"/>
        <w:tblW w:w="0" w:type="auto"/>
        <w:tblLook w:val="04A0" w:firstRow="1" w:lastRow="0" w:firstColumn="1" w:lastColumn="0" w:noHBand="0" w:noVBand="1"/>
      </w:tblPr>
      <w:tblGrid>
        <w:gridCol w:w="2402"/>
        <w:gridCol w:w="1312"/>
        <w:gridCol w:w="1179"/>
        <w:gridCol w:w="4457"/>
      </w:tblGrid>
      <w:tr w:rsidR="0070601B" w:rsidRPr="0070601B" w14:paraId="497249E5" w14:textId="77777777" w:rsidTr="00D63CBC">
        <w:trPr>
          <w:cantSplit/>
          <w:tblHeader/>
        </w:trPr>
        <w:tc>
          <w:tcPr>
            <w:tcW w:w="2402" w:type="dxa"/>
            <w:shd w:val="clear" w:color="auto" w:fill="BFBFBF"/>
            <w:vAlign w:val="center"/>
          </w:tcPr>
          <w:p w14:paraId="4929111D" w14:textId="77777777" w:rsidR="0070601B" w:rsidRPr="0070601B" w:rsidRDefault="0070601B" w:rsidP="00D63CBC">
            <w:r w:rsidRPr="0070601B">
              <w:t>Type of Service</w:t>
            </w:r>
          </w:p>
        </w:tc>
        <w:tc>
          <w:tcPr>
            <w:tcW w:w="1312" w:type="dxa"/>
            <w:shd w:val="clear" w:color="auto" w:fill="BFBFBF"/>
            <w:vAlign w:val="center"/>
          </w:tcPr>
          <w:p w14:paraId="47825FE6" w14:textId="77777777" w:rsidR="0070601B" w:rsidRPr="0070601B" w:rsidRDefault="0070601B" w:rsidP="00D63CBC">
            <w:r w:rsidRPr="0070601B">
              <w:t>Allowable</w:t>
            </w:r>
          </w:p>
        </w:tc>
        <w:tc>
          <w:tcPr>
            <w:tcW w:w="1179" w:type="dxa"/>
            <w:shd w:val="clear" w:color="auto" w:fill="BFBFBF"/>
            <w:vAlign w:val="center"/>
          </w:tcPr>
          <w:p w14:paraId="6FA5D6A4" w14:textId="77777777" w:rsidR="0070601B" w:rsidRPr="0070601B" w:rsidRDefault="0070601B" w:rsidP="00D63CBC">
            <w:r w:rsidRPr="0070601B">
              <w:t>Not Allowed</w:t>
            </w:r>
          </w:p>
        </w:tc>
        <w:tc>
          <w:tcPr>
            <w:tcW w:w="4457" w:type="dxa"/>
            <w:shd w:val="clear" w:color="auto" w:fill="BFBFBF"/>
            <w:vAlign w:val="center"/>
          </w:tcPr>
          <w:p w14:paraId="4828347C" w14:textId="77777777" w:rsidR="0070601B" w:rsidRPr="0070601B" w:rsidRDefault="0070601B" w:rsidP="00D63CBC">
            <w:r w:rsidRPr="0070601B">
              <w:t>Comments (if applicable)</w:t>
            </w:r>
          </w:p>
        </w:tc>
      </w:tr>
      <w:tr w:rsidR="0070601B" w:rsidRPr="0070601B" w14:paraId="5A6C0875" w14:textId="77777777" w:rsidTr="00D63CBC">
        <w:trPr>
          <w:cantSplit/>
        </w:trPr>
        <w:tc>
          <w:tcPr>
            <w:tcW w:w="2402" w:type="dxa"/>
          </w:tcPr>
          <w:p w14:paraId="4089AFA8" w14:textId="77777777" w:rsidR="0070601B" w:rsidRPr="0055492E" w:rsidRDefault="0070601B" w:rsidP="00D63CBC">
            <w:pPr>
              <w:rPr>
                <w:rFonts w:ascii="Times New Roman" w:hAnsi="Times New Roman"/>
                <w:sz w:val="20"/>
                <w:szCs w:val="20"/>
              </w:rPr>
            </w:pPr>
            <w:r w:rsidRPr="0055492E">
              <w:rPr>
                <w:rFonts w:eastAsia="Palatino Linotype" w:cs="Palatino Linotype"/>
                <w:sz w:val="20"/>
                <w:szCs w:val="20"/>
              </w:rPr>
              <w:t>Administrative Costs</w:t>
            </w:r>
          </w:p>
        </w:tc>
        <w:tc>
          <w:tcPr>
            <w:tcW w:w="1312" w:type="dxa"/>
            <w:vAlign w:val="center"/>
          </w:tcPr>
          <w:p w14:paraId="7D249539" w14:textId="77777777" w:rsidR="0070601B" w:rsidRPr="0055492E" w:rsidRDefault="0070601B" w:rsidP="00D63CBC">
            <w:pPr>
              <w:jc w:val="center"/>
              <w:rPr>
                <w:sz w:val="20"/>
                <w:szCs w:val="20"/>
              </w:rPr>
            </w:pPr>
          </w:p>
        </w:tc>
        <w:tc>
          <w:tcPr>
            <w:tcW w:w="1179" w:type="dxa"/>
            <w:vAlign w:val="center"/>
          </w:tcPr>
          <w:p w14:paraId="7F7D99B3" w14:textId="77777777" w:rsidR="0070601B" w:rsidRPr="0055492E" w:rsidRDefault="0070601B" w:rsidP="00D63CBC">
            <w:pPr>
              <w:jc w:val="center"/>
              <w:rPr>
                <w:sz w:val="20"/>
                <w:szCs w:val="20"/>
              </w:rPr>
            </w:pPr>
            <w:r w:rsidRPr="0055492E">
              <w:rPr>
                <w:sz w:val="20"/>
                <w:szCs w:val="20"/>
              </w:rPr>
              <w:t>X</w:t>
            </w:r>
          </w:p>
        </w:tc>
        <w:tc>
          <w:tcPr>
            <w:tcW w:w="4457" w:type="dxa"/>
          </w:tcPr>
          <w:p w14:paraId="107E5ABF" w14:textId="77777777" w:rsidR="0070601B" w:rsidRPr="0055492E" w:rsidRDefault="0070601B" w:rsidP="00D63CBC">
            <w:pPr>
              <w:rPr>
                <w:rFonts w:ascii="Times New Roman" w:hAnsi="Times New Roman"/>
                <w:sz w:val="20"/>
                <w:szCs w:val="20"/>
              </w:rPr>
            </w:pPr>
            <w:r w:rsidRPr="0055492E">
              <w:rPr>
                <w:rFonts w:eastAsia="Palatino Linotype" w:cs="Palatino Linotype"/>
                <w:sz w:val="20"/>
                <w:szCs w:val="20"/>
              </w:rPr>
              <w:t xml:space="preserve">34 CFR §300.133(a), each LEA is required to spend a proportionate share of Federal Part B funds on providing special education and related services to children with disabilities who are enrolled by their parents in private elementary schools and secondary schools </w:t>
            </w:r>
            <w:proofErr w:type="gramStart"/>
            <w:r w:rsidRPr="0055492E">
              <w:rPr>
                <w:rFonts w:eastAsia="Palatino Linotype" w:cs="Palatino Linotype"/>
                <w:sz w:val="20"/>
                <w:szCs w:val="20"/>
              </w:rPr>
              <w:t>in order for</w:t>
            </w:r>
            <w:proofErr w:type="gramEnd"/>
            <w:r w:rsidRPr="0055492E">
              <w:rPr>
                <w:rFonts w:eastAsia="Palatino Linotype" w:cs="Palatino Linotype"/>
                <w:sz w:val="20"/>
                <w:szCs w:val="20"/>
              </w:rPr>
              <w:t xml:space="preserve"> the LEA to meet its responsibility for providing equitable services. We interpret the reference to “special education and related services” to mean that administrative costs could not be included in the amount each LEA must spend to meet this requirement.</w:t>
            </w:r>
          </w:p>
        </w:tc>
      </w:tr>
      <w:tr w:rsidR="0070601B" w:rsidRPr="0070601B" w14:paraId="5397B700" w14:textId="77777777" w:rsidTr="00D63CBC">
        <w:trPr>
          <w:cantSplit/>
        </w:trPr>
        <w:tc>
          <w:tcPr>
            <w:tcW w:w="2402" w:type="dxa"/>
          </w:tcPr>
          <w:p w14:paraId="7D8D5DBF" w14:textId="77777777" w:rsidR="0070601B" w:rsidRPr="0055492E" w:rsidRDefault="0070601B" w:rsidP="00D63CBC">
            <w:pPr>
              <w:rPr>
                <w:rFonts w:eastAsia="Palatino Linotype" w:cs="Palatino Linotype"/>
                <w:sz w:val="20"/>
                <w:szCs w:val="20"/>
              </w:rPr>
            </w:pPr>
            <w:r w:rsidRPr="0055492E">
              <w:rPr>
                <w:rFonts w:eastAsia="Palatino Linotype" w:cs="Palatino Linotype"/>
                <w:sz w:val="20"/>
                <w:szCs w:val="20"/>
              </w:rPr>
              <w:t>Consultation Meeting Time and Costs</w:t>
            </w:r>
          </w:p>
        </w:tc>
        <w:tc>
          <w:tcPr>
            <w:tcW w:w="1312" w:type="dxa"/>
            <w:vAlign w:val="center"/>
          </w:tcPr>
          <w:p w14:paraId="33526225" w14:textId="77777777" w:rsidR="0070601B" w:rsidRPr="0055492E" w:rsidRDefault="0070601B" w:rsidP="00D63CBC">
            <w:pPr>
              <w:jc w:val="center"/>
              <w:rPr>
                <w:sz w:val="20"/>
                <w:szCs w:val="20"/>
              </w:rPr>
            </w:pPr>
          </w:p>
        </w:tc>
        <w:tc>
          <w:tcPr>
            <w:tcW w:w="1179" w:type="dxa"/>
            <w:vAlign w:val="center"/>
          </w:tcPr>
          <w:p w14:paraId="7A8C05B9" w14:textId="77777777" w:rsidR="0070601B" w:rsidRPr="0055492E" w:rsidRDefault="0070601B" w:rsidP="00D63CBC">
            <w:pPr>
              <w:jc w:val="center"/>
              <w:rPr>
                <w:sz w:val="20"/>
                <w:szCs w:val="20"/>
              </w:rPr>
            </w:pPr>
            <w:r w:rsidRPr="0055492E">
              <w:rPr>
                <w:sz w:val="20"/>
                <w:szCs w:val="20"/>
              </w:rPr>
              <w:t>X</w:t>
            </w:r>
          </w:p>
        </w:tc>
        <w:tc>
          <w:tcPr>
            <w:tcW w:w="4457" w:type="dxa"/>
          </w:tcPr>
          <w:p w14:paraId="68C473B4" w14:textId="77777777" w:rsidR="0070601B" w:rsidRPr="0055492E" w:rsidRDefault="0070601B" w:rsidP="00D63CBC">
            <w:pPr>
              <w:rPr>
                <w:rFonts w:ascii="Times New Roman" w:hAnsi="Times New Roman"/>
                <w:sz w:val="20"/>
                <w:szCs w:val="20"/>
              </w:rPr>
            </w:pPr>
            <w:r w:rsidRPr="0055492E">
              <w:rPr>
                <w:rFonts w:eastAsia="Palatino Linotype" w:cs="Palatino Linotype"/>
                <w:sz w:val="20"/>
                <w:szCs w:val="20"/>
              </w:rPr>
              <w:t>Consultation Meetings are not specific to the services for a specific child and is considered administrative.</w:t>
            </w:r>
          </w:p>
        </w:tc>
      </w:tr>
      <w:tr w:rsidR="0070601B" w:rsidRPr="0070601B" w14:paraId="6CBDD796" w14:textId="77777777" w:rsidTr="00D63CBC">
        <w:trPr>
          <w:cantSplit/>
        </w:trPr>
        <w:tc>
          <w:tcPr>
            <w:tcW w:w="2402" w:type="dxa"/>
          </w:tcPr>
          <w:p w14:paraId="7E546971" w14:textId="77777777" w:rsidR="0070601B" w:rsidRPr="0055492E" w:rsidRDefault="0070601B" w:rsidP="00D63CBC">
            <w:pPr>
              <w:rPr>
                <w:rFonts w:ascii="Times New Roman" w:eastAsia="Palatino Linotype" w:hAnsi="Times New Roman"/>
                <w:sz w:val="20"/>
                <w:szCs w:val="20"/>
              </w:rPr>
            </w:pPr>
            <w:r w:rsidRPr="0055492E">
              <w:rPr>
                <w:rFonts w:eastAsia="Palatino Linotype" w:cs="Palatino Linotype"/>
                <w:sz w:val="20"/>
                <w:szCs w:val="20"/>
              </w:rPr>
              <w:t>Child Find</w:t>
            </w:r>
          </w:p>
        </w:tc>
        <w:tc>
          <w:tcPr>
            <w:tcW w:w="1312" w:type="dxa"/>
            <w:vAlign w:val="center"/>
          </w:tcPr>
          <w:p w14:paraId="075E0A37" w14:textId="77777777" w:rsidR="0070601B" w:rsidRPr="0055492E" w:rsidRDefault="0070601B" w:rsidP="00D63CBC">
            <w:pPr>
              <w:jc w:val="center"/>
              <w:rPr>
                <w:sz w:val="20"/>
                <w:szCs w:val="20"/>
              </w:rPr>
            </w:pPr>
          </w:p>
        </w:tc>
        <w:tc>
          <w:tcPr>
            <w:tcW w:w="1179" w:type="dxa"/>
            <w:vAlign w:val="center"/>
          </w:tcPr>
          <w:p w14:paraId="3DBAA4B1" w14:textId="77777777" w:rsidR="0070601B" w:rsidRPr="0055492E" w:rsidRDefault="0070601B" w:rsidP="00D63CBC">
            <w:pPr>
              <w:jc w:val="center"/>
              <w:rPr>
                <w:sz w:val="20"/>
                <w:szCs w:val="20"/>
              </w:rPr>
            </w:pPr>
            <w:r w:rsidRPr="0055492E">
              <w:rPr>
                <w:sz w:val="20"/>
                <w:szCs w:val="20"/>
              </w:rPr>
              <w:t>X</w:t>
            </w:r>
          </w:p>
        </w:tc>
        <w:tc>
          <w:tcPr>
            <w:tcW w:w="4457" w:type="dxa"/>
          </w:tcPr>
          <w:p w14:paraId="3C4CE36E" w14:textId="77777777" w:rsidR="0070601B" w:rsidRPr="0055492E" w:rsidRDefault="0070601B" w:rsidP="00D63CBC">
            <w:pPr>
              <w:rPr>
                <w:rFonts w:eastAsia="Palatino Linotype" w:cs="Palatino Linotype"/>
                <w:sz w:val="20"/>
                <w:szCs w:val="20"/>
              </w:rPr>
            </w:pPr>
            <w:r w:rsidRPr="0055492E">
              <w:rPr>
                <w:rFonts w:eastAsia="Palatino Linotype" w:cs="Palatino Linotype"/>
                <w:sz w:val="20"/>
                <w:szCs w:val="20"/>
              </w:rPr>
              <w:t>34 CFR §300.131(d) The obligation to conduct Child Find, including individual evaluations, exists independently from the obligation to provide equitable services.</w:t>
            </w:r>
          </w:p>
        </w:tc>
      </w:tr>
      <w:tr w:rsidR="0070601B" w:rsidRPr="0070601B" w14:paraId="6BED5DB9" w14:textId="77777777" w:rsidTr="00D63CBC">
        <w:trPr>
          <w:cantSplit/>
        </w:trPr>
        <w:tc>
          <w:tcPr>
            <w:tcW w:w="2402" w:type="dxa"/>
          </w:tcPr>
          <w:p w14:paraId="4A049385" w14:textId="77777777" w:rsidR="0070601B" w:rsidRPr="0055492E" w:rsidRDefault="0070601B" w:rsidP="00D63CBC">
            <w:pPr>
              <w:rPr>
                <w:rFonts w:ascii="Times New Roman" w:hAnsi="Times New Roman"/>
              </w:rPr>
            </w:pPr>
            <w:r w:rsidRPr="0055492E">
              <w:rPr>
                <w:rFonts w:eastAsia="Palatino Linotype"/>
              </w:rPr>
              <w:lastRenderedPageBreak/>
              <w:t xml:space="preserve">Payments directly to </w:t>
            </w:r>
            <w:r w:rsidRPr="0055492E">
              <w:t>non-profit non-public school</w:t>
            </w:r>
            <w:r w:rsidRPr="0055492E">
              <w:rPr>
                <w:rFonts w:eastAsia="Palatino Linotype"/>
              </w:rPr>
              <w:t xml:space="preserve"> or a parent</w:t>
            </w:r>
          </w:p>
        </w:tc>
        <w:tc>
          <w:tcPr>
            <w:tcW w:w="1312" w:type="dxa"/>
            <w:vAlign w:val="center"/>
          </w:tcPr>
          <w:p w14:paraId="2C9C433D" w14:textId="77777777" w:rsidR="0070601B" w:rsidRPr="0055492E" w:rsidRDefault="0070601B" w:rsidP="00D63CBC">
            <w:pPr>
              <w:jc w:val="center"/>
            </w:pPr>
          </w:p>
        </w:tc>
        <w:tc>
          <w:tcPr>
            <w:tcW w:w="1179" w:type="dxa"/>
            <w:vAlign w:val="center"/>
          </w:tcPr>
          <w:p w14:paraId="01CC408C" w14:textId="77777777" w:rsidR="0070601B" w:rsidRPr="0055492E" w:rsidRDefault="0070601B" w:rsidP="00D63CBC">
            <w:pPr>
              <w:jc w:val="center"/>
            </w:pPr>
            <w:r w:rsidRPr="0055492E">
              <w:t>X</w:t>
            </w:r>
          </w:p>
        </w:tc>
        <w:tc>
          <w:tcPr>
            <w:tcW w:w="4457" w:type="dxa"/>
          </w:tcPr>
          <w:p w14:paraId="13D4F5FB" w14:textId="77777777" w:rsidR="0070601B" w:rsidRPr="0055492E" w:rsidRDefault="0070601B" w:rsidP="00D63CBC">
            <w:pPr>
              <w:rPr>
                <w:rFonts w:ascii="Times New Roman" w:hAnsi="Times New Roman"/>
              </w:rPr>
            </w:pPr>
            <w:r w:rsidRPr="0055492E">
              <w:rPr>
                <w:rFonts w:eastAsia="Palatino Linotype"/>
              </w:rPr>
              <w:t xml:space="preserve">Part B funds for equitable services may not be paid directly to </w:t>
            </w:r>
            <w:r w:rsidRPr="0055492E">
              <w:t>non-profit non-public school</w:t>
            </w:r>
            <w:r w:rsidRPr="0055492E">
              <w:rPr>
                <w:rFonts w:eastAsia="Palatino Linotype"/>
              </w:rPr>
              <w:t xml:space="preserve"> or a parent. Under 34 CFR §300.144(a), a public agency must control and administer the funds used to provide special education and related services to parentally placed private school children with disabilities.</w:t>
            </w:r>
          </w:p>
        </w:tc>
      </w:tr>
      <w:tr w:rsidR="0070601B" w:rsidRPr="0070601B" w14:paraId="7BB1A515" w14:textId="77777777" w:rsidTr="00D63CBC">
        <w:trPr>
          <w:cantSplit/>
        </w:trPr>
        <w:tc>
          <w:tcPr>
            <w:tcW w:w="2402" w:type="dxa"/>
            <w:vAlign w:val="center"/>
          </w:tcPr>
          <w:p w14:paraId="0C317440" w14:textId="77777777" w:rsidR="0070601B" w:rsidRPr="0055492E" w:rsidRDefault="0070601B" w:rsidP="00D63CBC">
            <w:pPr>
              <w:rPr>
                <w:rFonts w:ascii="Times New Roman" w:hAnsi="Times New Roman" w:cs="Times New Roman"/>
              </w:rPr>
            </w:pPr>
            <w:r w:rsidRPr="0055492E">
              <w:rPr>
                <w:rFonts w:eastAsia="Palatino Linotype"/>
              </w:rPr>
              <w:t xml:space="preserve">Part B funds for equitable services be used for repairs, minor remodeling, or construction of </w:t>
            </w:r>
            <w:r w:rsidRPr="0055492E">
              <w:rPr>
                <w:rFonts w:cs="Times New Roman"/>
              </w:rPr>
              <w:t>non-profit non-public school</w:t>
            </w:r>
            <w:r w:rsidRPr="0055492E">
              <w:rPr>
                <w:rFonts w:eastAsia="Palatino Linotype"/>
              </w:rPr>
              <w:t xml:space="preserve"> or a parent’s home</w:t>
            </w:r>
          </w:p>
        </w:tc>
        <w:tc>
          <w:tcPr>
            <w:tcW w:w="1312" w:type="dxa"/>
            <w:vAlign w:val="center"/>
          </w:tcPr>
          <w:p w14:paraId="60458068" w14:textId="77777777" w:rsidR="0070601B" w:rsidRPr="0055492E" w:rsidRDefault="0070601B" w:rsidP="00D63CBC">
            <w:pPr>
              <w:jc w:val="center"/>
              <w:rPr>
                <w:rFonts w:cs="Times New Roman"/>
              </w:rPr>
            </w:pPr>
          </w:p>
        </w:tc>
        <w:tc>
          <w:tcPr>
            <w:tcW w:w="1179" w:type="dxa"/>
            <w:vAlign w:val="center"/>
          </w:tcPr>
          <w:p w14:paraId="655C08B8" w14:textId="77777777" w:rsidR="0070601B" w:rsidRPr="0055492E" w:rsidRDefault="0070601B" w:rsidP="00D63CBC">
            <w:pPr>
              <w:jc w:val="center"/>
              <w:rPr>
                <w:rFonts w:cs="Times New Roman"/>
              </w:rPr>
            </w:pPr>
            <w:r w:rsidRPr="0055492E">
              <w:rPr>
                <w:rFonts w:cs="Times New Roman"/>
              </w:rPr>
              <w:t>X</w:t>
            </w:r>
          </w:p>
        </w:tc>
        <w:tc>
          <w:tcPr>
            <w:tcW w:w="4457" w:type="dxa"/>
          </w:tcPr>
          <w:p w14:paraId="16C76D1D" w14:textId="77777777" w:rsidR="0070601B" w:rsidRPr="0055492E" w:rsidRDefault="0070601B" w:rsidP="00D63CBC">
            <w:pPr>
              <w:rPr>
                <w:rFonts w:ascii="Times New Roman" w:hAnsi="Times New Roman" w:cs="Times New Roman"/>
              </w:rPr>
            </w:pPr>
            <w:r w:rsidRPr="0055492E">
              <w:rPr>
                <w:rFonts w:eastAsia="Palatino Linotype"/>
              </w:rPr>
              <w:t xml:space="preserve">34 CFR §300.144(e) Part B funds for equitable services may not be used for repairs, minor remodeling, or construction of </w:t>
            </w:r>
            <w:r w:rsidRPr="0055492E">
              <w:rPr>
                <w:rFonts w:cs="Times New Roman"/>
              </w:rPr>
              <w:t>non-profit non-public school</w:t>
            </w:r>
            <w:r w:rsidRPr="0055492E">
              <w:rPr>
                <w:rFonts w:eastAsia="Palatino Linotype"/>
              </w:rPr>
              <w:t xml:space="preserve"> or a parent’s home</w:t>
            </w:r>
          </w:p>
        </w:tc>
      </w:tr>
      <w:tr w:rsidR="0070601B" w:rsidRPr="0070601B" w14:paraId="0CBC7FE5" w14:textId="77777777" w:rsidTr="00D63CBC">
        <w:trPr>
          <w:cantSplit/>
        </w:trPr>
        <w:tc>
          <w:tcPr>
            <w:tcW w:w="2402" w:type="dxa"/>
            <w:vAlign w:val="center"/>
          </w:tcPr>
          <w:p w14:paraId="691715A1" w14:textId="77777777" w:rsidR="0070601B" w:rsidRPr="0055492E" w:rsidRDefault="0070601B" w:rsidP="00D63CBC">
            <w:pPr>
              <w:rPr>
                <w:rFonts w:eastAsia="Palatino Linotype"/>
              </w:rPr>
            </w:pPr>
            <w:r w:rsidRPr="0055492E">
              <w:rPr>
                <w:rFonts w:eastAsia="Palatino Linotype"/>
              </w:rPr>
              <w:t>Prep for Service Plan Meeting</w:t>
            </w:r>
          </w:p>
        </w:tc>
        <w:tc>
          <w:tcPr>
            <w:tcW w:w="1312" w:type="dxa"/>
            <w:vAlign w:val="center"/>
          </w:tcPr>
          <w:p w14:paraId="35A5BD32" w14:textId="77777777" w:rsidR="0070601B" w:rsidRPr="0055492E" w:rsidRDefault="0070601B" w:rsidP="00D63CBC">
            <w:pPr>
              <w:jc w:val="center"/>
              <w:rPr>
                <w:rFonts w:cs="Times New Roman"/>
              </w:rPr>
            </w:pPr>
          </w:p>
        </w:tc>
        <w:tc>
          <w:tcPr>
            <w:tcW w:w="1179" w:type="dxa"/>
            <w:vAlign w:val="center"/>
          </w:tcPr>
          <w:p w14:paraId="3257FCBC" w14:textId="77777777" w:rsidR="0070601B" w:rsidRPr="0055492E" w:rsidRDefault="0070601B" w:rsidP="00D63CBC">
            <w:pPr>
              <w:jc w:val="center"/>
              <w:rPr>
                <w:rFonts w:cs="Times New Roman"/>
              </w:rPr>
            </w:pPr>
            <w:r w:rsidRPr="0055492E">
              <w:rPr>
                <w:rFonts w:cs="Times New Roman"/>
              </w:rPr>
              <w:t>X</w:t>
            </w:r>
          </w:p>
        </w:tc>
        <w:tc>
          <w:tcPr>
            <w:tcW w:w="4457" w:type="dxa"/>
          </w:tcPr>
          <w:p w14:paraId="74877C67" w14:textId="77777777" w:rsidR="0070601B" w:rsidRPr="0055492E" w:rsidRDefault="0070601B" w:rsidP="00D63CBC">
            <w:pPr>
              <w:rPr>
                <w:rFonts w:ascii="Times New Roman" w:hAnsi="Times New Roman" w:cs="Times New Roman"/>
              </w:rPr>
            </w:pPr>
            <w:r w:rsidRPr="0055492E">
              <w:rPr>
                <w:rFonts w:eastAsia="Palatino Linotype"/>
              </w:rPr>
              <w:t>time necessary to prepare for a service plan meeting—such as scheduling, phone calls, and printing—are administrative costs</w:t>
            </w:r>
          </w:p>
        </w:tc>
      </w:tr>
      <w:tr w:rsidR="0070601B" w:rsidRPr="0070601B" w14:paraId="167A10E0" w14:textId="77777777" w:rsidTr="00D63CBC">
        <w:trPr>
          <w:cantSplit/>
        </w:trPr>
        <w:tc>
          <w:tcPr>
            <w:tcW w:w="2402" w:type="dxa"/>
            <w:vAlign w:val="center"/>
          </w:tcPr>
          <w:p w14:paraId="36832D10" w14:textId="77777777" w:rsidR="0070601B" w:rsidRPr="0055492E" w:rsidRDefault="0070601B" w:rsidP="00D63CBC">
            <w:pPr>
              <w:rPr>
                <w:rFonts w:eastAsia="Palatino Linotype"/>
              </w:rPr>
            </w:pPr>
            <w:r w:rsidRPr="0055492E">
              <w:rPr>
                <w:rFonts w:eastAsia="Palatino Linotype"/>
              </w:rPr>
              <w:t>Service Plan Meeting</w:t>
            </w:r>
          </w:p>
        </w:tc>
        <w:tc>
          <w:tcPr>
            <w:tcW w:w="1312" w:type="dxa"/>
            <w:vAlign w:val="center"/>
          </w:tcPr>
          <w:p w14:paraId="6164937B" w14:textId="77777777" w:rsidR="0070601B" w:rsidRPr="0055492E" w:rsidRDefault="0070601B" w:rsidP="00D63CBC">
            <w:pPr>
              <w:jc w:val="center"/>
              <w:rPr>
                <w:rFonts w:cs="Times New Roman"/>
              </w:rPr>
            </w:pPr>
            <w:r w:rsidRPr="0055492E">
              <w:rPr>
                <w:rFonts w:cs="Times New Roman"/>
              </w:rPr>
              <w:t>X</w:t>
            </w:r>
          </w:p>
        </w:tc>
        <w:tc>
          <w:tcPr>
            <w:tcW w:w="1179" w:type="dxa"/>
            <w:vAlign w:val="center"/>
          </w:tcPr>
          <w:p w14:paraId="6A7AB943" w14:textId="77777777" w:rsidR="0070601B" w:rsidRPr="0055492E" w:rsidRDefault="0070601B" w:rsidP="00D63CBC">
            <w:pPr>
              <w:jc w:val="center"/>
              <w:rPr>
                <w:rFonts w:cs="Times New Roman"/>
              </w:rPr>
            </w:pPr>
          </w:p>
        </w:tc>
        <w:tc>
          <w:tcPr>
            <w:tcW w:w="4457" w:type="dxa"/>
          </w:tcPr>
          <w:p w14:paraId="0122288B" w14:textId="77777777" w:rsidR="0070601B" w:rsidRPr="0055492E" w:rsidRDefault="0070601B" w:rsidP="00D63CBC">
            <w:pPr>
              <w:rPr>
                <w:rFonts w:ascii="Times New Roman" w:hAnsi="Times New Roman" w:cs="Times New Roman"/>
              </w:rPr>
            </w:pPr>
            <w:r w:rsidRPr="0055492E">
              <w:rPr>
                <w:rFonts w:eastAsia="Palatino Linotype"/>
              </w:rPr>
              <w:t xml:space="preserve">the service plan meeting is specific to an individual </w:t>
            </w:r>
            <w:proofErr w:type="gramStart"/>
            <w:r w:rsidRPr="0055492E">
              <w:rPr>
                <w:rFonts w:eastAsia="Palatino Linotype"/>
              </w:rPr>
              <w:t>child, and</w:t>
            </w:r>
            <w:proofErr w:type="gramEnd"/>
            <w:r w:rsidRPr="0055492E">
              <w:rPr>
                <w:rFonts w:eastAsia="Palatino Linotype"/>
              </w:rPr>
              <w:t xml:space="preserve"> is consistent with equitable treatment of individualized education program (IEP) meetings for public school children with disabilities.</w:t>
            </w:r>
          </w:p>
        </w:tc>
      </w:tr>
      <w:tr w:rsidR="0070601B" w:rsidRPr="0070601B" w14:paraId="3A860979" w14:textId="77777777" w:rsidTr="00D63CBC">
        <w:trPr>
          <w:cantSplit/>
        </w:trPr>
        <w:tc>
          <w:tcPr>
            <w:tcW w:w="2402" w:type="dxa"/>
            <w:vAlign w:val="center"/>
          </w:tcPr>
          <w:p w14:paraId="63E61394" w14:textId="77777777" w:rsidR="0070601B" w:rsidRPr="0055492E" w:rsidRDefault="0070601B" w:rsidP="00D63CBC">
            <w:pPr>
              <w:rPr>
                <w:rFonts w:eastAsia="Palatino Linotype"/>
              </w:rPr>
            </w:pPr>
            <w:r w:rsidRPr="0055492E">
              <w:rPr>
                <w:rFonts w:eastAsia="Palatino Linotype"/>
              </w:rPr>
              <w:t xml:space="preserve">Time for preparing, planning for </w:t>
            </w:r>
            <w:proofErr w:type="gramStart"/>
            <w:r w:rsidRPr="0055492E">
              <w:rPr>
                <w:rFonts w:eastAsia="Palatino Linotype"/>
              </w:rPr>
              <w:t>services</w:t>
            </w:r>
            <w:proofErr w:type="gramEnd"/>
            <w:r w:rsidRPr="0055492E">
              <w:rPr>
                <w:rFonts w:eastAsia="Palatino Linotype"/>
              </w:rPr>
              <w:t xml:space="preserve"> or documenting therapy notes of direct services</w:t>
            </w:r>
          </w:p>
        </w:tc>
        <w:tc>
          <w:tcPr>
            <w:tcW w:w="1312" w:type="dxa"/>
            <w:vAlign w:val="center"/>
          </w:tcPr>
          <w:p w14:paraId="0C89EE92" w14:textId="77777777" w:rsidR="0070601B" w:rsidRPr="0055492E" w:rsidRDefault="0070601B" w:rsidP="00D63CBC">
            <w:pPr>
              <w:jc w:val="center"/>
              <w:rPr>
                <w:rFonts w:eastAsia="Palatino Linotype"/>
              </w:rPr>
            </w:pPr>
            <w:r w:rsidRPr="0055492E">
              <w:rPr>
                <w:rFonts w:eastAsia="Palatino Linotype"/>
              </w:rPr>
              <w:t>X</w:t>
            </w:r>
          </w:p>
        </w:tc>
        <w:tc>
          <w:tcPr>
            <w:tcW w:w="1179" w:type="dxa"/>
            <w:vAlign w:val="center"/>
          </w:tcPr>
          <w:p w14:paraId="22921216" w14:textId="77777777" w:rsidR="0070601B" w:rsidRPr="0055492E" w:rsidRDefault="0070601B" w:rsidP="00D63CBC">
            <w:pPr>
              <w:jc w:val="center"/>
              <w:rPr>
                <w:rFonts w:eastAsia="Palatino Linotype"/>
              </w:rPr>
            </w:pPr>
          </w:p>
        </w:tc>
        <w:tc>
          <w:tcPr>
            <w:tcW w:w="4457" w:type="dxa"/>
          </w:tcPr>
          <w:p w14:paraId="58CC8E90" w14:textId="77777777" w:rsidR="0070601B" w:rsidRPr="0055492E" w:rsidRDefault="0070601B" w:rsidP="00D63CBC">
            <w:pPr>
              <w:rPr>
                <w:rFonts w:eastAsia="Palatino Linotype"/>
              </w:rPr>
            </w:pPr>
            <w:r w:rsidRPr="0055492E">
              <w:rPr>
                <w:rFonts w:eastAsia="Palatino Linotype"/>
              </w:rPr>
              <w:t xml:space="preserve">the time necessary to document the direct services that are/were provided to </w:t>
            </w:r>
            <w:proofErr w:type="gramStart"/>
            <w:r w:rsidRPr="0055492E">
              <w:rPr>
                <w:rFonts w:eastAsia="Palatino Linotype"/>
              </w:rPr>
              <w:t>parentally-placed</w:t>
            </w:r>
            <w:proofErr w:type="gramEnd"/>
            <w:r w:rsidRPr="0055492E">
              <w:rPr>
                <w:rFonts w:eastAsia="Palatino Linotype"/>
              </w:rPr>
              <w:t xml:space="preserve"> private school children with disabilities. Must be consistent with equitable treatment of </w:t>
            </w:r>
            <w:proofErr w:type="gramStart"/>
            <w:r w:rsidRPr="0055492E">
              <w:rPr>
                <w:rFonts w:eastAsia="Palatino Linotype"/>
              </w:rPr>
              <w:t>public school</w:t>
            </w:r>
            <w:proofErr w:type="gramEnd"/>
            <w:r w:rsidRPr="0055492E">
              <w:rPr>
                <w:rFonts w:eastAsia="Palatino Linotype"/>
              </w:rPr>
              <w:t xml:space="preserve"> children with disabilities.</w:t>
            </w:r>
          </w:p>
        </w:tc>
      </w:tr>
      <w:tr w:rsidR="0070601B" w:rsidRPr="0070601B" w14:paraId="4458FF78" w14:textId="77777777" w:rsidTr="00D63CBC">
        <w:trPr>
          <w:cantSplit/>
        </w:trPr>
        <w:tc>
          <w:tcPr>
            <w:tcW w:w="2402" w:type="dxa"/>
            <w:vAlign w:val="center"/>
          </w:tcPr>
          <w:p w14:paraId="432634A8" w14:textId="77777777" w:rsidR="0070601B" w:rsidRPr="0055492E" w:rsidRDefault="0070601B" w:rsidP="00D63CBC">
            <w:pPr>
              <w:rPr>
                <w:rFonts w:ascii="Times New Roman" w:hAnsi="Times New Roman" w:cs="Times New Roman"/>
              </w:rPr>
            </w:pPr>
            <w:r w:rsidRPr="0055492E">
              <w:rPr>
                <w:rFonts w:eastAsia="Palatino Linotype"/>
              </w:rPr>
              <w:lastRenderedPageBreak/>
              <w:t>Time for consultation of Teacher Consultants, Social Workers, or Psychologists</w:t>
            </w:r>
          </w:p>
        </w:tc>
        <w:tc>
          <w:tcPr>
            <w:tcW w:w="1312" w:type="dxa"/>
            <w:vAlign w:val="center"/>
          </w:tcPr>
          <w:p w14:paraId="2BBEF8BC" w14:textId="77777777" w:rsidR="0070601B" w:rsidRPr="0055492E" w:rsidRDefault="0070601B" w:rsidP="00D63CBC">
            <w:pPr>
              <w:jc w:val="center"/>
              <w:rPr>
                <w:rFonts w:cs="Times New Roman"/>
              </w:rPr>
            </w:pPr>
            <w:r w:rsidRPr="0055492E">
              <w:rPr>
                <w:rFonts w:cs="Times New Roman"/>
              </w:rPr>
              <w:t>X</w:t>
            </w:r>
          </w:p>
        </w:tc>
        <w:tc>
          <w:tcPr>
            <w:tcW w:w="1179" w:type="dxa"/>
            <w:vAlign w:val="center"/>
          </w:tcPr>
          <w:p w14:paraId="585906C2" w14:textId="77777777" w:rsidR="0070601B" w:rsidRPr="0055492E" w:rsidRDefault="0070601B" w:rsidP="00D63CBC">
            <w:pPr>
              <w:jc w:val="center"/>
              <w:rPr>
                <w:rFonts w:cs="Times New Roman"/>
              </w:rPr>
            </w:pPr>
          </w:p>
        </w:tc>
        <w:tc>
          <w:tcPr>
            <w:tcW w:w="4457" w:type="dxa"/>
          </w:tcPr>
          <w:p w14:paraId="6A651EBC" w14:textId="77777777" w:rsidR="0070601B" w:rsidRPr="0055492E" w:rsidRDefault="0070601B" w:rsidP="00D63CBC">
            <w:pPr>
              <w:rPr>
                <w:rFonts w:ascii="Times New Roman" w:hAnsi="Times New Roman" w:cs="Times New Roman"/>
              </w:rPr>
            </w:pPr>
            <w:r w:rsidRPr="0055492E">
              <w:rPr>
                <w:rFonts w:eastAsia="Palatino Linotype"/>
              </w:rPr>
              <w:t xml:space="preserve">time necessary for Teacher Consultants, Social Workers, or Psychologists to consult with teachers, parents, and services providers regarding the services provided to </w:t>
            </w:r>
            <w:proofErr w:type="gramStart"/>
            <w:r w:rsidRPr="0055492E">
              <w:rPr>
                <w:rFonts w:eastAsia="Palatino Linotype"/>
              </w:rPr>
              <w:t>parentally-placed</w:t>
            </w:r>
            <w:proofErr w:type="gramEnd"/>
            <w:r w:rsidRPr="0055492E">
              <w:rPr>
                <w:rFonts w:eastAsia="Palatino Linotype"/>
              </w:rPr>
              <w:t xml:space="preserve"> private school children with disabilities</w:t>
            </w:r>
          </w:p>
        </w:tc>
      </w:tr>
      <w:tr w:rsidR="0070601B" w:rsidRPr="0070601B" w14:paraId="4AF1B345" w14:textId="77777777" w:rsidTr="00D63CBC">
        <w:trPr>
          <w:cantSplit/>
        </w:trPr>
        <w:tc>
          <w:tcPr>
            <w:tcW w:w="2402" w:type="dxa"/>
            <w:vAlign w:val="center"/>
          </w:tcPr>
          <w:p w14:paraId="254D6B06" w14:textId="77777777" w:rsidR="0070601B" w:rsidRPr="0055492E" w:rsidRDefault="0070601B" w:rsidP="00D63CBC">
            <w:pPr>
              <w:rPr>
                <w:rFonts w:ascii="Times New Roman" w:hAnsi="Times New Roman" w:cs="Times New Roman"/>
              </w:rPr>
            </w:pPr>
            <w:r w:rsidRPr="0055492E">
              <w:rPr>
                <w:rFonts w:eastAsia="Palatino Linotype"/>
              </w:rPr>
              <w:t>Travel and mileage costs to/from the district to the parentally placed student</w:t>
            </w:r>
          </w:p>
        </w:tc>
        <w:tc>
          <w:tcPr>
            <w:tcW w:w="1312" w:type="dxa"/>
            <w:vAlign w:val="center"/>
          </w:tcPr>
          <w:p w14:paraId="260F8326" w14:textId="77777777" w:rsidR="0070601B" w:rsidRPr="0055492E" w:rsidRDefault="0070601B" w:rsidP="00D63CBC">
            <w:pPr>
              <w:jc w:val="center"/>
              <w:rPr>
                <w:rFonts w:cs="Times New Roman"/>
              </w:rPr>
            </w:pPr>
            <w:r w:rsidRPr="0055492E">
              <w:rPr>
                <w:rFonts w:cs="Times New Roman"/>
              </w:rPr>
              <w:t>X</w:t>
            </w:r>
          </w:p>
        </w:tc>
        <w:tc>
          <w:tcPr>
            <w:tcW w:w="1179" w:type="dxa"/>
            <w:vAlign w:val="center"/>
          </w:tcPr>
          <w:p w14:paraId="3C270499" w14:textId="77777777" w:rsidR="0070601B" w:rsidRPr="0055492E" w:rsidRDefault="0070601B" w:rsidP="00D63CBC">
            <w:pPr>
              <w:jc w:val="center"/>
              <w:rPr>
                <w:rFonts w:cs="Times New Roman"/>
              </w:rPr>
            </w:pPr>
          </w:p>
        </w:tc>
        <w:tc>
          <w:tcPr>
            <w:tcW w:w="4457" w:type="dxa"/>
          </w:tcPr>
          <w:p w14:paraId="3FE83979" w14:textId="77777777" w:rsidR="0070601B" w:rsidRPr="0055492E" w:rsidRDefault="0070601B" w:rsidP="00D63CBC">
            <w:pPr>
              <w:rPr>
                <w:rFonts w:ascii="Times New Roman" w:hAnsi="Times New Roman" w:cs="Times New Roman"/>
              </w:rPr>
            </w:pPr>
            <w:r w:rsidRPr="0055492E">
              <w:rPr>
                <w:rFonts w:eastAsia="Palatino Linotype"/>
              </w:rPr>
              <w:t xml:space="preserve">Costs must be consistent and reasonable to provide direct services to </w:t>
            </w:r>
            <w:proofErr w:type="gramStart"/>
            <w:r w:rsidRPr="0055492E">
              <w:rPr>
                <w:rFonts w:eastAsia="Palatino Linotype"/>
              </w:rPr>
              <w:t>parentally-placed</w:t>
            </w:r>
            <w:proofErr w:type="gramEnd"/>
            <w:r w:rsidRPr="0055492E">
              <w:rPr>
                <w:rFonts w:eastAsia="Palatino Linotype"/>
              </w:rPr>
              <w:t xml:space="preserve"> school children with disabilities. Must have mileage records that correspond to travel dates/times.</w:t>
            </w:r>
          </w:p>
        </w:tc>
      </w:tr>
      <w:tr w:rsidR="0070601B" w:rsidRPr="0070601B" w14:paraId="08C911C8" w14:textId="77777777" w:rsidTr="00D63CBC">
        <w:trPr>
          <w:cantSplit/>
        </w:trPr>
        <w:tc>
          <w:tcPr>
            <w:tcW w:w="2402" w:type="dxa"/>
            <w:vAlign w:val="center"/>
          </w:tcPr>
          <w:p w14:paraId="35772F84" w14:textId="77777777" w:rsidR="0070601B" w:rsidRPr="0055492E" w:rsidRDefault="0070601B" w:rsidP="00D63CBC">
            <w:pPr>
              <w:rPr>
                <w:rFonts w:eastAsia="Palatino Linotype"/>
              </w:rPr>
            </w:pPr>
            <w:r w:rsidRPr="0055492E">
              <w:rPr>
                <w:rFonts w:eastAsia="Palatino Linotype"/>
              </w:rPr>
              <w:t>Services to students</w:t>
            </w:r>
          </w:p>
        </w:tc>
        <w:tc>
          <w:tcPr>
            <w:tcW w:w="1312" w:type="dxa"/>
            <w:vAlign w:val="center"/>
          </w:tcPr>
          <w:p w14:paraId="38669F70" w14:textId="77777777" w:rsidR="0070601B" w:rsidRPr="0055492E" w:rsidRDefault="0070601B" w:rsidP="00D63CBC">
            <w:pPr>
              <w:jc w:val="center"/>
              <w:rPr>
                <w:rFonts w:cs="Times New Roman"/>
              </w:rPr>
            </w:pPr>
            <w:r w:rsidRPr="0055492E">
              <w:rPr>
                <w:rFonts w:cs="Times New Roman"/>
              </w:rPr>
              <w:t>X</w:t>
            </w:r>
          </w:p>
        </w:tc>
        <w:tc>
          <w:tcPr>
            <w:tcW w:w="1179" w:type="dxa"/>
            <w:vAlign w:val="center"/>
          </w:tcPr>
          <w:p w14:paraId="53FF6646" w14:textId="77777777" w:rsidR="0070601B" w:rsidRPr="0055492E" w:rsidRDefault="0070601B" w:rsidP="00D63CBC">
            <w:pPr>
              <w:jc w:val="center"/>
              <w:rPr>
                <w:rFonts w:cs="Times New Roman"/>
              </w:rPr>
            </w:pPr>
          </w:p>
        </w:tc>
        <w:tc>
          <w:tcPr>
            <w:tcW w:w="4457" w:type="dxa"/>
          </w:tcPr>
          <w:p w14:paraId="08037C6D" w14:textId="77777777" w:rsidR="0070601B" w:rsidRPr="0055492E" w:rsidRDefault="0070601B" w:rsidP="00D63CBC">
            <w:pPr>
              <w:rPr>
                <w:rFonts w:eastAsia="Palatino Linotype"/>
              </w:rPr>
            </w:pPr>
            <w:r w:rsidRPr="0055492E">
              <w:rPr>
                <w:rFonts w:eastAsia="Palatino Linotype"/>
              </w:rPr>
              <w:t>If listed on services plan</w:t>
            </w:r>
          </w:p>
        </w:tc>
      </w:tr>
      <w:tr w:rsidR="0070601B" w:rsidRPr="0070601B" w14:paraId="5F54EBB6" w14:textId="77777777" w:rsidTr="00D63CBC">
        <w:trPr>
          <w:cantSplit/>
        </w:trPr>
        <w:tc>
          <w:tcPr>
            <w:tcW w:w="2402" w:type="dxa"/>
            <w:vAlign w:val="center"/>
          </w:tcPr>
          <w:p w14:paraId="24BBD144" w14:textId="77777777" w:rsidR="0070601B" w:rsidRPr="0055492E" w:rsidRDefault="0070601B" w:rsidP="00D63CBC">
            <w:pPr>
              <w:rPr>
                <w:rFonts w:eastAsia="Palatino Linotype"/>
              </w:rPr>
            </w:pPr>
            <w:r w:rsidRPr="0055492E">
              <w:rPr>
                <w:rFonts w:eastAsia="Palatino Linotype"/>
              </w:rPr>
              <w:t xml:space="preserve">Supplies and materials </w:t>
            </w:r>
          </w:p>
        </w:tc>
        <w:tc>
          <w:tcPr>
            <w:tcW w:w="1312" w:type="dxa"/>
            <w:vAlign w:val="center"/>
          </w:tcPr>
          <w:p w14:paraId="5457EC9A" w14:textId="77777777" w:rsidR="0070601B" w:rsidRPr="0055492E" w:rsidRDefault="0070601B" w:rsidP="00D63CBC">
            <w:pPr>
              <w:jc w:val="center"/>
              <w:rPr>
                <w:rFonts w:cs="Times New Roman"/>
              </w:rPr>
            </w:pPr>
            <w:r w:rsidRPr="0055492E">
              <w:rPr>
                <w:rFonts w:cs="Times New Roman"/>
              </w:rPr>
              <w:t>X</w:t>
            </w:r>
          </w:p>
        </w:tc>
        <w:tc>
          <w:tcPr>
            <w:tcW w:w="1179" w:type="dxa"/>
            <w:vAlign w:val="center"/>
          </w:tcPr>
          <w:p w14:paraId="4C1CB40D" w14:textId="77777777" w:rsidR="0070601B" w:rsidRPr="0055492E" w:rsidRDefault="0070601B" w:rsidP="00D63CBC">
            <w:pPr>
              <w:jc w:val="center"/>
              <w:rPr>
                <w:rFonts w:cs="Times New Roman"/>
              </w:rPr>
            </w:pPr>
          </w:p>
        </w:tc>
        <w:tc>
          <w:tcPr>
            <w:tcW w:w="4457" w:type="dxa"/>
          </w:tcPr>
          <w:p w14:paraId="043423FA" w14:textId="77777777" w:rsidR="0070601B" w:rsidRPr="0055492E" w:rsidRDefault="0070601B" w:rsidP="00D63CBC">
            <w:pPr>
              <w:rPr>
                <w:rFonts w:eastAsia="Palatino Linotype"/>
              </w:rPr>
            </w:pPr>
            <w:r w:rsidRPr="0055492E">
              <w:rPr>
                <w:rFonts w:eastAsia="Palatino Linotype"/>
              </w:rPr>
              <w:t>necessary to provide services to student; or if related to the professional development listed on services plan</w:t>
            </w:r>
          </w:p>
        </w:tc>
      </w:tr>
      <w:tr w:rsidR="0070601B" w:rsidRPr="0070601B" w14:paraId="3192AC5C" w14:textId="77777777" w:rsidTr="00D63CBC">
        <w:trPr>
          <w:cantSplit/>
        </w:trPr>
        <w:tc>
          <w:tcPr>
            <w:tcW w:w="2402" w:type="dxa"/>
            <w:vAlign w:val="center"/>
          </w:tcPr>
          <w:p w14:paraId="57E3804E" w14:textId="77777777" w:rsidR="0070601B" w:rsidRPr="0055492E" w:rsidRDefault="0070601B" w:rsidP="00D63CBC">
            <w:pPr>
              <w:rPr>
                <w:rFonts w:eastAsia="Palatino Linotype"/>
              </w:rPr>
            </w:pPr>
            <w:r w:rsidRPr="0055492E">
              <w:rPr>
                <w:rFonts w:eastAsia="Palatino Linotype"/>
              </w:rPr>
              <w:t>Professional development</w:t>
            </w:r>
          </w:p>
        </w:tc>
        <w:tc>
          <w:tcPr>
            <w:tcW w:w="1312" w:type="dxa"/>
            <w:vAlign w:val="center"/>
          </w:tcPr>
          <w:p w14:paraId="4DBE0C59" w14:textId="77777777" w:rsidR="0070601B" w:rsidRPr="0055492E" w:rsidRDefault="0070601B" w:rsidP="00D63CBC">
            <w:pPr>
              <w:jc w:val="center"/>
              <w:rPr>
                <w:rFonts w:cs="Times New Roman"/>
              </w:rPr>
            </w:pPr>
            <w:r w:rsidRPr="0055492E">
              <w:rPr>
                <w:rFonts w:cs="Times New Roman"/>
              </w:rPr>
              <w:t>X</w:t>
            </w:r>
          </w:p>
        </w:tc>
        <w:tc>
          <w:tcPr>
            <w:tcW w:w="1179" w:type="dxa"/>
            <w:vAlign w:val="center"/>
          </w:tcPr>
          <w:p w14:paraId="0EEC8E46" w14:textId="77777777" w:rsidR="0070601B" w:rsidRPr="0055492E" w:rsidRDefault="0070601B" w:rsidP="00D63CBC">
            <w:pPr>
              <w:jc w:val="center"/>
              <w:rPr>
                <w:rFonts w:cs="Times New Roman"/>
              </w:rPr>
            </w:pPr>
          </w:p>
        </w:tc>
        <w:tc>
          <w:tcPr>
            <w:tcW w:w="4457" w:type="dxa"/>
          </w:tcPr>
          <w:p w14:paraId="241AC20A" w14:textId="77777777" w:rsidR="0070601B" w:rsidRPr="0055492E" w:rsidRDefault="0070601B" w:rsidP="00D63CBC">
            <w:pPr>
              <w:rPr>
                <w:rFonts w:eastAsia="Palatino Linotype"/>
              </w:rPr>
            </w:pPr>
            <w:r w:rsidRPr="0055492E">
              <w:rPr>
                <w:rFonts w:eastAsia="Palatino Linotype"/>
              </w:rPr>
              <w:t>If listed on services plan</w:t>
            </w:r>
          </w:p>
        </w:tc>
      </w:tr>
    </w:tbl>
    <w:p w14:paraId="62EB1E23" w14:textId="77777777" w:rsidR="0070601B" w:rsidRPr="0070601B" w:rsidRDefault="0070601B" w:rsidP="0070601B">
      <w:pPr>
        <w:spacing w:before="0" w:after="0" w:line="240" w:lineRule="auto"/>
        <w:rPr>
          <w:rFonts w:ascii="Times New Roman" w:hAnsi="Times New Roman" w:cs="Times New Roman"/>
          <w:bCs w:val="0"/>
          <w:sz w:val="24"/>
          <w:szCs w:val="24"/>
        </w:rPr>
      </w:pPr>
    </w:p>
    <w:p w14:paraId="70F000F3" w14:textId="77777777" w:rsidR="0070601B" w:rsidRPr="0070601B" w:rsidRDefault="0070601B" w:rsidP="0070601B">
      <w:pPr>
        <w:spacing w:before="0" w:after="0" w:line="240" w:lineRule="auto"/>
        <w:rPr>
          <w:rFonts w:ascii="Franklin Gothic Demi" w:hAnsi="Franklin Gothic Demi" w:cs="Times New Roman"/>
          <w:bCs w:val="0"/>
          <w:sz w:val="32"/>
          <w:szCs w:val="32"/>
        </w:rPr>
      </w:pPr>
      <w:r w:rsidRPr="0070601B">
        <w:rPr>
          <w:rFonts w:ascii="Franklin Gothic Demi" w:hAnsi="Franklin Gothic Demi" w:cs="Times New Roman"/>
          <w:bCs w:val="0"/>
          <w:sz w:val="32"/>
          <w:szCs w:val="32"/>
        </w:rPr>
        <w:br w:type="page"/>
      </w:r>
    </w:p>
    <w:p w14:paraId="42615B1F" w14:textId="77777777" w:rsidR="0070601B" w:rsidRPr="0070601B" w:rsidRDefault="0070601B" w:rsidP="00D63CBC">
      <w:pPr>
        <w:pStyle w:val="Title"/>
        <w:rPr>
          <w:rFonts w:eastAsia="Yu Gothic Light"/>
        </w:rPr>
      </w:pPr>
      <w:r w:rsidRPr="0070601B">
        <w:rPr>
          <w:rFonts w:eastAsia="Yu Gothic Light"/>
        </w:rPr>
        <w:lastRenderedPageBreak/>
        <w:t>Appendix D – Resources for Proportionate Share</w:t>
      </w:r>
    </w:p>
    <w:p w14:paraId="7581A58B" w14:textId="77777777" w:rsidR="00E75566" w:rsidRDefault="00E75566" w:rsidP="0070601B">
      <w:pPr>
        <w:spacing w:before="0" w:after="0" w:line="240" w:lineRule="auto"/>
        <w:rPr>
          <w:rFonts w:cs="Segoe UI"/>
          <w:bCs w:val="0"/>
          <w:sz w:val="21"/>
          <w:szCs w:val="21"/>
        </w:rPr>
      </w:pPr>
    </w:p>
    <w:p w14:paraId="2BF17D05" w14:textId="1D9B568D" w:rsidR="0070601B" w:rsidRPr="0070601B" w:rsidRDefault="009D07C2" w:rsidP="00D63CBC">
      <w:hyperlink r:id="rId47" w:history="1">
        <w:r w:rsidR="0070601B" w:rsidRPr="00D769B1">
          <w:rPr>
            <w:rStyle w:val="Hyperlink"/>
            <w:rFonts w:cs="Segoe UI"/>
            <w:bCs w:val="0"/>
            <w:sz w:val="21"/>
            <w:szCs w:val="21"/>
          </w:rPr>
          <w:t xml:space="preserve">IDEA Provisions Related to Children </w:t>
        </w:r>
        <w:proofErr w:type="gramStart"/>
        <w:r w:rsidR="0070601B" w:rsidRPr="00D769B1">
          <w:rPr>
            <w:rStyle w:val="Hyperlink"/>
            <w:rFonts w:cs="Segoe UI"/>
            <w:bCs w:val="0"/>
            <w:sz w:val="21"/>
            <w:szCs w:val="21"/>
          </w:rPr>
          <w:t>With</w:t>
        </w:r>
        <w:proofErr w:type="gramEnd"/>
        <w:r w:rsidR="0070601B" w:rsidRPr="00D769B1">
          <w:rPr>
            <w:rStyle w:val="Hyperlink"/>
            <w:rFonts w:cs="Segoe UI"/>
            <w:bCs w:val="0"/>
            <w:sz w:val="21"/>
            <w:szCs w:val="21"/>
          </w:rPr>
          <w:t xml:space="preserve"> Disabilities Enrolled by Their Parents in Private Schools</w:t>
        </w:r>
      </w:hyperlink>
      <w:r w:rsidR="0070601B" w:rsidRPr="0070601B">
        <w:t xml:space="preserve"> (March 2011)</w:t>
      </w:r>
    </w:p>
    <w:p w14:paraId="1103B016" w14:textId="77777777" w:rsidR="00E75566" w:rsidRDefault="00E75566" w:rsidP="00D63CBC"/>
    <w:p w14:paraId="6A55EA9A" w14:textId="27D6927E" w:rsidR="0070601B" w:rsidRPr="0070601B" w:rsidRDefault="009D07C2" w:rsidP="00D63CBC">
      <w:pPr>
        <w:rPr>
          <w:color w:val="0000FF"/>
        </w:rPr>
      </w:pPr>
      <w:hyperlink r:id="rId48" w:anchor="Private-Schools-Parentally-Placed" w:history="1">
        <w:r w:rsidR="0070601B" w:rsidRPr="00D769B1">
          <w:rPr>
            <w:rStyle w:val="Hyperlink"/>
            <w:rFonts w:cs="Segoe UI"/>
            <w:bCs w:val="0"/>
            <w:sz w:val="21"/>
            <w:szCs w:val="21"/>
          </w:rPr>
          <w:t>Proportionate Share Resources U.S. Department of Education IDEA Topic Areas Website</w:t>
        </w:r>
      </w:hyperlink>
    </w:p>
    <w:p w14:paraId="372A22E9" w14:textId="77777777" w:rsidR="00E75566" w:rsidRDefault="00E75566" w:rsidP="00D63CBC"/>
    <w:p w14:paraId="7D160237" w14:textId="2BC851C0" w:rsidR="0070601B" w:rsidRPr="0070601B" w:rsidRDefault="009D07C2" w:rsidP="00D63CBC">
      <w:hyperlink r:id="rId49" w:history="1">
        <w:r w:rsidR="0070601B" w:rsidRPr="00D769B1">
          <w:rPr>
            <w:rStyle w:val="Hyperlink"/>
            <w:rFonts w:cs="Segoe UI"/>
            <w:bCs w:val="0"/>
            <w:sz w:val="21"/>
            <w:szCs w:val="21"/>
          </w:rPr>
          <w:t>Questions and Answers on IDEA Part B Dispute Resolution Procedures</w:t>
        </w:r>
      </w:hyperlink>
      <w:r w:rsidR="0070601B" w:rsidRPr="0070601B">
        <w:t xml:space="preserve"> (July 2013)</w:t>
      </w:r>
    </w:p>
    <w:p w14:paraId="5978C6F8" w14:textId="77777777" w:rsidR="00E75566" w:rsidRDefault="00E75566" w:rsidP="00D63CBC"/>
    <w:p w14:paraId="505FE3E0" w14:textId="41E98C64" w:rsidR="0070601B" w:rsidRPr="0070601B" w:rsidRDefault="009D07C2" w:rsidP="00D63CBC">
      <w:pPr>
        <w:rPr>
          <w:color w:val="0000FF"/>
        </w:rPr>
      </w:pPr>
      <w:hyperlink r:id="rId50" w:history="1">
        <w:r w:rsidR="0070601B" w:rsidRPr="00D769B1">
          <w:rPr>
            <w:rStyle w:val="Hyperlink"/>
            <w:rFonts w:cs="Segoe UI"/>
            <w:bCs w:val="0"/>
            <w:sz w:val="21"/>
            <w:szCs w:val="21"/>
          </w:rPr>
          <w:t>Questions and Answers on Serving Children with Disabilities Placed by Their Parents in Private Schools</w:t>
        </w:r>
      </w:hyperlink>
      <w:r w:rsidR="0070601B" w:rsidRPr="0070601B">
        <w:t xml:space="preserve"> (April 2011)</w:t>
      </w:r>
    </w:p>
    <w:p w14:paraId="2D42FA13" w14:textId="77777777" w:rsidR="00781CCF" w:rsidRPr="001D11ED" w:rsidRDefault="00781CCF" w:rsidP="0070601B">
      <w:pPr>
        <w:pStyle w:val="Heading1"/>
        <w:tabs>
          <w:tab w:val="left" w:pos="7500"/>
        </w:tabs>
        <w:spacing w:before="0" w:after="0" w:line="240" w:lineRule="auto"/>
      </w:pPr>
    </w:p>
    <w:sectPr w:rsidR="00781CCF" w:rsidRPr="001D11ED" w:rsidSect="00B66234">
      <w:footerReference w:type="default" r:id="rId51"/>
      <w:headerReference w:type="first" r:id="rId52"/>
      <w:footerReference w:type="first" r:id="rId53"/>
      <w:pgSz w:w="12240" w:h="15840"/>
      <w:pgMar w:top="720" w:right="1440" w:bottom="72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C92F0" w14:textId="77777777" w:rsidR="004A438C" w:rsidRDefault="004A438C" w:rsidP="004062C7">
      <w:r>
        <w:separator/>
      </w:r>
    </w:p>
  </w:endnote>
  <w:endnote w:type="continuationSeparator" w:id="0">
    <w:p w14:paraId="36444E1F" w14:textId="77777777" w:rsidR="004A438C" w:rsidRDefault="004A438C" w:rsidP="004062C7">
      <w:r>
        <w:continuationSeparator/>
      </w:r>
    </w:p>
  </w:endnote>
  <w:endnote w:type="continuationNotice" w:id="1">
    <w:p w14:paraId="42FEC951" w14:textId="77777777" w:rsidR="004A438C" w:rsidRDefault="004A438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Franklin Gothic Demi">
    <w:altName w:val="Calibr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33"/>
      <w:gridCol w:w="1580"/>
      <w:gridCol w:w="3647"/>
    </w:tblGrid>
    <w:tr w:rsidR="00796D5F" w14:paraId="0114C2F4" w14:textId="77777777" w:rsidTr="00774ECD">
      <w:trPr>
        <w:cantSplit/>
        <w:trHeight w:val="633"/>
        <w:tblHeader/>
      </w:trPr>
      <w:tc>
        <w:tcPr>
          <w:tcW w:w="4248" w:type="dxa"/>
        </w:tcPr>
        <w:p w14:paraId="2A85F7E8" w14:textId="441BFAEA" w:rsidR="00796D5F" w:rsidRPr="00937FFC" w:rsidRDefault="002057D9" w:rsidP="004460D4">
          <w:pPr>
            <w:pStyle w:val="Footer"/>
          </w:pPr>
          <w:r w:rsidRPr="002057D9">
            <w:t>IDEA Proportionate Share Requirements</w:t>
          </w:r>
          <w:r w:rsidR="00796D5F" w:rsidRPr="00937FFC">
            <w:br/>
            <w:t>(Revised</w:t>
          </w:r>
          <w:r w:rsidR="000C1E6F">
            <w:t xml:space="preserve">: </w:t>
          </w:r>
          <w:r w:rsidR="009E3B21">
            <w:t>July 8</w:t>
          </w:r>
          <w:r w:rsidR="00B11F0D">
            <w:t>, 2022</w:t>
          </w:r>
          <w:r w:rsidR="00796D5F" w:rsidRPr="00937FFC">
            <w:t>)</w:t>
          </w:r>
        </w:p>
      </w:tc>
      <w:tc>
        <w:tcPr>
          <w:tcW w:w="1620" w:type="dxa"/>
        </w:tcPr>
        <w:p w14:paraId="70844629" w14:textId="77777777" w:rsidR="00796D5F" w:rsidRPr="00937FFC" w:rsidRDefault="00796D5F" w:rsidP="009F3400">
          <w:pPr>
            <w:pStyle w:val="Footer"/>
            <w:jc w:val="cen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sidR="0094350D">
            <w:rPr>
              <w:b/>
              <w:noProof/>
            </w:rPr>
            <w:t>2</w:t>
          </w:r>
          <w:r w:rsidRPr="00937FFC">
            <w:rPr>
              <w:b/>
            </w:rPr>
            <w:fldChar w:fldCharType="end"/>
          </w:r>
          <w:r w:rsidRPr="00937FFC">
            <w:t xml:space="preserve"> of </w:t>
          </w:r>
          <w:r w:rsidR="003977EC">
            <w:rPr>
              <w:b/>
              <w:noProof/>
            </w:rPr>
            <w:fldChar w:fldCharType="begin"/>
          </w:r>
          <w:r w:rsidR="003977EC">
            <w:rPr>
              <w:b/>
              <w:noProof/>
            </w:rPr>
            <w:instrText xml:space="preserve"> NUMPAGES  \* Arabic  \* MERGEFORMAT </w:instrText>
          </w:r>
          <w:r w:rsidR="003977EC">
            <w:rPr>
              <w:b/>
              <w:noProof/>
            </w:rPr>
            <w:fldChar w:fldCharType="separate"/>
          </w:r>
          <w:r w:rsidR="0094350D" w:rsidRPr="0094350D">
            <w:rPr>
              <w:b/>
              <w:noProof/>
            </w:rPr>
            <w:t>2</w:t>
          </w:r>
          <w:r w:rsidR="003977EC">
            <w:rPr>
              <w:b/>
              <w:noProof/>
            </w:rPr>
            <w:fldChar w:fldCharType="end"/>
          </w:r>
        </w:p>
      </w:tc>
      <w:tc>
        <w:tcPr>
          <w:tcW w:w="3708" w:type="dxa"/>
        </w:tcPr>
        <w:p w14:paraId="1D848CA8" w14:textId="77777777" w:rsidR="00796D5F" w:rsidRPr="00937FFC" w:rsidRDefault="00796D5F" w:rsidP="00961CDA">
          <w:pPr>
            <w:pStyle w:val="Footer"/>
            <w:jc w:val="right"/>
            <w:rPr>
              <w:szCs w:val="18"/>
            </w:rPr>
          </w:pPr>
          <w:r w:rsidRPr="00937FFC">
            <w:rPr>
              <w:noProof/>
            </w:rPr>
            <w:drawing>
              <wp:inline distT="0" distB="0" distL="0" distR="0" wp14:anchorId="07DFB862" wp14:editId="68DC083F">
                <wp:extent cx="1276056" cy="320040"/>
                <wp:effectExtent l="0" t="0" r="635" b="381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1487CDC8" w14:textId="77777777" w:rsidR="00796D5F" w:rsidRPr="009F3400" w:rsidRDefault="00796D5F">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B7998" w14:textId="77777777" w:rsidR="00B66234" w:rsidRDefault="00B66234" w:rsidP="00B66234">
    <w:pPr>
      <w:pStyle w:val="Heading1"/>
    </w:pPr>
    <w:r>
      <w:t>Contact Information:</w:t>
    </w:r>
    <w:r w:rsidR="001D11ED">
      <w:t xml:space="preserve"> </w:t>
    </w:r>
  </w:p>
  <w:p w14:paraId="2D3C579F" w14:textId="77777777" w:rsidR="00F16D79" w:rsidRDefault="00F16D79" w:rsidP="00F16D79">
    <w:r>
      <w:t>If you have questions about this document or would like additional information, please contact:</w:t>
    </w:r>
  </w:p>
  <w:p w14:paraId="58DED47F" w14:textId="3D208865" w:rsidR="00B66234" w:rsidRPr="00B66234" w:rsidRDefault="00F16D79" w:rsidP="00F16D79">
    <w:r>
      <w:t xml:space="preserve">the </w:t>
    </w:r>
    <w:hyperlink r:id="rId1" w:history="1">
      <w:r w:rsidRPr="003C157A">
        <w:rPr>
          <w:rStyle w:val="Hyperlink"/>
        </w:rPr>
        <w:t>Special Education Monitoring Team</w:t>
      </w:r>
    </w:hyperlink>
    <w:r w:rsidR="00A2243D" w:rsidRPr="00A2243D">
      <w:rPr>
        <w:rStyle w:val="Hyperlink"/>
        <w:color w:val="auto"/>
        <w:u w:val="non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6695E" w14:textId="77777777" w:rsidR="004A438C" w:rsidRDefault="004A438C" w:rsidP="004062C7">
      <w:r>
        <w:separator/>
      </w:r>
    </w:p>
  </w:footnote>
  <w:footnote w:type="continuationSeparator" w:id="0">
    <w:p w14:paraId="33DF6305" w14:textId="77777777" w:rsidR="004A438C" w:rsidRDefault="004A438C" w:rsidP="004062C7">
      <w:r>
        <w:continuationSeparator/>
      </w:r>
    </w:p>
  </w:footnote>
  <w:footnote w:type="continuationNotice" w:id="1">
    <w:p w14:paraId="73F574FB" w14:textId="77777777" w:rsidR="004A438C" w:rsidRDefault="004A438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377E2927" w14:textId="77777777" w:rsidTr="00FA04BA">
      <w:tc>
        <w:tcPr>
          <w:tcW w:w="4320" w:type="dxa"/>
        </w:tcPr>
        <w:p w14:paraId="711CE569" w14:textId="77777777" w:rsidR="00B20740" w:rsidRDefault="00B20740" w:rsidP="00B20740">
          <w:pPr>
            <w:pStyle w:val="AOE-Header"/>
            <w:spacing w:before="0" w:after="0"/>
            <w:jc w:val="left"/>
            <w:rPr>
              <w:sz w:val="20"/>
              <w:szCs w:val="20"/>
            </w:rPr>
          </w:pPr>
          <w:r w:rsidRPr="00147A67">
            <w:rPr>
              <w:sz w:val="20"/>
              <w:szCs w:val="20"/>
            </w:rPr>
            <w:drawing>
              <wp:inline distT="0" distB="0" distL="0" distR="0" wp14:anchorId="7DFD8DB6" wp14:editId="03328970">
                <wp:extent cx="1576705" cy="411480"/>
                <wp:effectExtent l="0" t="0" r="4445" b="762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7C99E89F" w14:textId="3681BC78" w:rsidR="00B20740" w:rsidRDefault="00B20740" w:rsidP="00B20740">
          <w:pPr>
            <w:pStyle w:val="AOE-Header"/>
            <w:spacing w:before="0" w:after="0"/>
            <w:jc w:val="left"/>
            <w:rPr>
              <w:sz w:val="20"/>
              <w:szCs w:val="20"/>
            </w:rPr>
          </w:pPr>
          <w:bookmarkStart w:id="0"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0"/>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21A37715" w14:textId="775E7B5D"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11B8D"/>
    <w:multiLevelType w:val="hybridMultilevel"/>
    <w:tmpl w:val="4C62B30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DF1AFF"/>
    <w:multiLevelType w:val="hybridMultilevel"/>
    <w:tmpl w:val="BCD272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5CC6674"/>
    <w:multiLevelType w:val="hybridMultilevel"/>
    <w:tmpl w:val="3A9A9752"/>
    <w:lvl w:ilvl="0" w:tplc="DBFCD1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3"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5"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6"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1719D4"/>
    <w:multiLevelType w:val="hybridMultilevel"/>
    <w:tmpl w:val="044AD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837EC9"/>
    <w:multiLevelType w:val="hybridMultilevel"/>
    <w:tmpl w:val="6D26A1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0C17FC0"/>
    <w:multiLevelType w:val="hybridMultilevel"/>
    <w:tmpl w:val="4C62B30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745416"/>
    <w:multiLevelType w:val="hybridMultilevel"/>
    <w:tmpl w:val="3C563A06"/>
    <w:lvl w:ilvl="0" w:tplc="DBFCD1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2"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4"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7" w15:restartNumberingAfterBreak="0">
    <w:nsid w:val="7EDF05E4"/>
    <w:multiLevelType w:val="hybridMultilevel"/>
    <w:tmpl w:val="AB0EC51C"/>
    <w:lvl w:ilvl="0" w:tplc="4EA2F25E">
      <w:start w:val="4"/>
      <w:numFmt w:val="bullet"/>
      <w:lvlText w:val="•"/>
      <w:lvlJc w:val="left"/>
      <w:pPr>
        <w:ind w:left="1080" w:hanging="360"/>
      </w:pPr>
      <w:rPr>
        <w:rFonts w:ascii="Palatino Linotype" w:eastAsia="Times New Roman" w:hAnsi="Palatino Linotype"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23562948">
    <w:abstractNumId w:val="33"/>
  </w:num>
  <w:num w:numId="2" w16cid:durableId="1258439854">
    <w:abstractNumId w:val="16"/>
  </w:num>
  <w:num w:numId="3" w16cid:durableId="1695230248">
    <w:abstractNumId w:val="31"/>
  </w:num>
  <w:num w:numId="4" w16cid:durableId="227351406">
    <w:abstractNumId w:val="26"/>
  </w:num>
  <w:num w:numId="5" w16cid:durableId="1073310814">
    <w:abstractNumId w:val="27"/>
  </w:num>
  <w:num w:numId="6" w16cid:durableId="441533148">
    <w:abstractNumId w:val="8"/>
  </w:num>
  <w:num w:numId="7" w16cid:durableId="308480569">
    <w:abstractNumId w:val="2"/>
  </w:num>
  <w:num w:numId="8" w16cid:durableId="506948390">
    <w:abstractNumId w:val="17"/>
  </w:num>
  <w:num w:numId="9" w16cid:durableId="516965495">
    <w:abstractNumId w:val="25"/>
  </w:num>
  <w:num w:numId="10" w16cid:durableId="1138110615">
    <w:abstractNumId w:val="34"/>
  </w:num>
  <w:num w:numId="11" w16cid:durableId="543519938">
    <w:abstractNumId w:val="20"/>
  </w:num>
  <w:num w:numId="12" w16cid:durableId="303390166">
    <w:abstractNumId w:val="11"/>
  </w:num>
  <w:num w:numId="13" w16cid:durableId="1666516036">
    <w:abstractNumId w:val="36"/>
  </w:num>
  <w:num w:numId="14" w16cid:durableId="1366833853">
    <w:abstractNumId w:val="12"/>
  </w:num>
  <w:num w:numId="15" w16cid:durableId="1893349830">
    <w:abstractNumId w:val="35"/>
  </w:num>
  <w:num w:numId="16" w16cid:durableId="683093599">
    <w:abstractNumId w:val="7"/>
  </w:num>
  <w:num w:numId="17" w16cid:durableId="1017578488">
    <w:abstractNumId w:val="9"/>
  </w:num>
  <w:num w:numId="18" w16cid:durableId="1036152187">
    <w:abstractNumId w:val="21"/>
  </w:num>
  <w:num w:numId="19" w16cid:durableId="2061123751">
    <w:abstractNumId w:val="28"/>
  </w:num>
  <w:num w:numId="20" w16cid:durableId="2046707800">
    <w:abstractNumId w:val="14"/>
  </w:num>
  <w:num w:numId="21" w16cid:durableId="395594275">
    <w:abstractNumId w:val="15"/>
  </w:num>
  <w:num w:numId="22" w16cid:durableId="577709860">
    <w:abstractNumId w:val="13"/>
  </w:num>
  <w:num w:numId="23" w16cid:durableId="564144955">
    <w:abstractNumId w:val="3"/>
  </w:num>
  <w:num w:numId="24" w16cid:durableId="859663635">
    <w:abstractNumId w:val="32"/>
  </w:num>
  <w:num w:numId="25" w16cid:durableId="1339966789">
    <w:abstractNumId w:val="3"/>
  </w:num>
  <w:num w:numId="26" w16cid:durableId="734208929">
    <w:abstractNumId w:val="5"/>
  </w:num>
  <w:num w:numId="27" w16cid:durableId="86535399">
    <w:abstractNumId w:val="29"/>
  </w:num>
  <w:num w:numId="28" w16cid:durableId="1696033389">
    <w:abstractNumId w:val="30"/>
  </w:num>
  <w:num w:numId="29" w16cid:durableId="2060589424">
    <w:abstractNumId w:val="19"/>
  </w:num>
  <w:num w:numId="30" w16cid:durableId="2087341676">
    <w:abstractNumId w:val="10"/>
  </w:num>
  <w:num w:numId="31" w16cid:durableId="986979978">
    <w:abstractNumId w:val="1"/>
  </w:num>
  <w:num w:numId="32" w16cid:durableId="664012747">
    <w:abstractNumId w:val="24"/>
  </w:num>
  <w:num w:numId="33" w16cid:durableId="1585257069">
    <w:abstractNumId w:val="6"/>
  </w:num>
  <w:num w:numId="34" w16cid:durableId="1860730348">
    <w:abstractNumId w:val="0"/>
  </w:num>
  <w:num w:numId="35" w16cid:durableId="1915623495">
    <w:abstractNumId w:val="23"/>
  </w:num>
  <w:num w:numId="36" w16cid:durableId="863590074">
    <w:abstractNumId w:val="18"/>
  </w:num>
  <w:num w:numId="37" w16cid:durableId="2025396854">
    <w:abstractNumId w:val="37"/>
  </w:num>
  <w:num w:numId="38" w16cid:durableId="1830826247">
    <w:abstractNumId w:val="22"/>
  </w:num>
  <w:num w:numId="39" w16cid:durableId="1955674045">
    <w:abstractNumId w:val="4"/>
  </w:num>
  <w:num w:numId="40" w16cid:durableId="1325939384">
    <w:abstractNumId w:val="5"/>
    <w:lvlOverride w:ilvl="0">
      <w:startOverride w:val="1"/>
    </w:lvlOverride>
  </w:num>
  <w:num w:numId="41" w16cid:durableId="1107582572">
    <w:abstractNumId w:val="5"/>
    <w:lvlOverride w:ilvl="0">
      <w:startOverride w:val="1"/>
    </w:lvlOverride>
  </w:num>
  <w:num w:numId="42" w16cid:durableId="1027220485">
    <w:abstractNumId w:val="5"/>
    <w:lvlOverride w:ilvl="0">
      <w:startOverride w:val="1"/>
    </w:lvlOverride>
  </w:num>
  <w:num w:numId="43" w16cid:durableId="1271888929">
    <w:abstractNumId w:val="5"/>
    <w:lvlOverride w:ilvl="0">
      <w:startOverride w:val="1"/>
    </w:lvlOverride>
  </w:num>
  <w:num w:numId="44" w16cid:durableId="1434010076">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F27B0"/>
    <w:rsid w:val="00011117"/>
    <w:rsid w:val="00030823"/>
    <w:rsid w:val="00030FE0"/>
    <w:rsid w:val="000310B4"/>
    <w:rsid w:val="000321FC"/>
    <w:rsid w:val="0003428C"/>
    <w:rsid w:val="000371CE"/>
    <w:rsid w:val="00042FE5"/>
    <w:rsid w:val="00062DFA"/>
    <w:rsid w:val="00062F58"/>
    <w:rsid w:val="00067DD9"/>
    <w:rsid w:val="000806B4"/>
    <w:rsid w:val="0008301F"/>
    <w:rsid w:val="0008376C"/>
    <w:rsid w:val="000978C9"/>
    <w:rsid w:val="000B3621"/>
    <w:rsid w:val="000C1E6F"/>
    <w:rsid w:val="000C5DE2"/>
    <w:rsid w:val="000D3611"/>
    <w:rsid w:val="000E2055"/>
    <w:rsid w:val="000F3A23"/>
    <w:rsid w:val="000F7F54"/>
    <w:rsid w:val="00102EA8"/>
    <w:rsid w:val="00104EFB"/>
    <w:rsid w:val="00107CE5"/>
    <w:rsid w:val="00134163"/>
    <w:rsid w:val="00147A67"/>
    <w:rsid w:val="001505DF"/>
    <w:rsid w:val="00161F11"/>
    <w:rsid w:val="00162B7F"/>
    <w:rsid w:val="001645D6"/>
    <w:rsid w:val="0017612B"/>
    <w:rsid w:val="0018154D"/>
    <w:rsid w:val="001854A1"/>
    <w:rsid w:val="001C1F88"/>
    <w:rsid w:val="001C25E3"/>
    <w:rsid w:val="001D07C0"/>
    <w:rsid w:val="001D11ED"/>
    <w:rsid w:val="001D35CB"/>
    <w:rsid w:val="001E444C"/>
    <w:rsid w:val="001E7FBE"/>
    <w:rsid w:val="001F22D0"/>
    <w:rsid w:val="001F4BA5"/>
    <w:rsid w:val="001F4DB4"/>
    <w:rsid w:val="001F5824"/>
    <w:rsid w:val="001F723C"/>
    <w:rsid w:val="00204A8C"/>
    <w:rsid w:val="002057D9"/>
    <w:rsid w:val="002112F8"/>
    <w:rsid w:val="00217F09"/>
    <w:rsid w:val="002214B1"/>
    <w:rsid w:val="00221659"/>
    <w:rsid w:val="002237E0"/>
    <w:rsid w:val="00231D57"/>
    <w:rsid w:val="0024600A"/>
    <w:rsid w:val="0024786D"/>
    <w:rsid w:val="00253F95"/>
    <w:rsid w:val="00256309"/>
    <w:rsid w:val="002768DB"/>
    <w:rsid w:val="002768E8"/>
    <w:rsid w:val="00277BD5"/>
    <w:rsid w:val="0028626E"/>
    <w:rsid w:val="002A0C9D"/>
    <w:rsid w:val="002C2B80"/>
    <w:rsid w:val="002C2D1A"/>
    <w:rsid w:val="002C3428"/>
    <w:rsid w:val="002D238E"/>
    <w:rsid w:val="002D43E2"/>
    <w:rsid w:val="002D6A73"/>
    <w:rsid w:val="002D7238"/>
    <w:rsid w:val="002E0106"/>
    <w:rsid w:val="002E3710"/>
    <w:rsid w:val="002E7E11"/>
    <w:rsid w:val="002F7E75"/>
    <w:rsid w:val="00302C74"/>
    <w:rsid w:val="00314055"/>
    <w:rsid w:val="00326074"/>
    <w:rsid w:val="003274F5"/>
    <w:rsid w:val="003275FD"/>
    <w:rsid w:val="00332368"/>
    <w:rsid w:val="00334D48"/>
    <w:rsid w:val="00340C04"/>
    <w:rsid w:val="00345106"/>
    <w:rsid w:val="003523A5"/>
    <w:rsid w:val="00372496"/>
    <w:rsid w:val="003834FF"/>
    <w:rsid w:val="003977EC"/>
    <w:rsid w:val="003B1BCA"/>
    <w:rsid w:val="003B7F81"/>
    <w:rsid w:val="003D0155"/>
    <w:rsid w:val="003D090F"/>
    <w:rsid w:val="003E736C"/>
    <w:rsid w:val="004062C7"/>
    <w:rsid w:val="00410700"/>
    <w:rsid w:val="00422E8B"/>
    <w:rsid w:val="004279FF"/>
    <w:rsid w:val="0043613A"/>
    <w:rsid w:val="00442899"/>
    <w:rsid w:val="00444A7A"/>
    <w:rsid w:val="004460D4"/>
    <w:rsid w:val="004739FF"/>
    <w:rsid w:val="0048222E"/>
    <w:rsid w:val="00484A92"/>
    <w:rsid w:val="00490247"/>
    <w:rsid w:val="004916FF"/>
    <w:rsid w:val="004A438C"/>
    <w:rsid w:val="004A7AD0"/>
    <w:rsid w:val="004B4EB6"/>
    <w:rsid w:val="004B7F41"/>
    <w:rsid w:val="004C627F"/>
    <w:rsid w:val="004D082D"/>
    <w:rsid w:val="004D1880"/>
    <w:rsid w:val="004E0D87"/>
    <w:rsid w:val="004F1159"/>
    <w:rsid w:val="00500232"/>
    <w:rsid w:val="00504921"/>
    <w:rsid w:val="00505A69"/>
    <w:rsid w:val="005201DE"/>
    <w:rsid w:val="00522250"/>
    <w:rsid w:val="00536AA0"/>
    <w:rsid w:val="005412F2"/>
    <w:rsid w:val="00542D77"/>
    <w:rsid w:val="005464E9"/>
    <w:rsid w:val="0055492E"/>
    <w:rsid w:val="00566B8A"/>
    <w:rsid w:val="0056727F"/>
    <w:rsid w:val="00575711"/>
    <w:rsid w:val="00580AF5"/>
    <w:rsid w:val="00587481"/>
    <w:rsid w:val="0059538A"/>
    <w:rsid w:val="00595F2B"/>
    <w:rsid w:val="005A2F07"/>
    <w:rsid w:val="005B5528"/>
    <w:rsid w:val="005B61CD"/>
    <w:rsid w:val="005C0FB7"/>
    <w:rsid w:val="005D1A81"/>
    <w:rsid w:val="005D7389"/>
    <w:rsid w:val="005D7ABB"/>
    <w:rsid w:val="005E0380"/>
    <w:rsid w:val="006055C1"/>
    <w:rsid w:val="006062D9"/>
    <w:rsid w:val="0062055D"/>
    <w:rsid w:val="006257CE"/>
    <w:rsid w:val="00626212"/>
    <w:rsid w:val="0063049A"/>
    <w:rsid w:val="00651E8D"/>
    <w:rsid w:val="006703F6"/>
    <w:rsid w:val="00681761"/>
    <w:rsid w:val="00687E86"/>
    <w:rsid w:val="0069467C"/>
    <w:rsid w:val="006C29AA"/>
    <w:rsid w:val="006D6F79"/>
    <w:rsid w:val="006F5080"/>
    <w:rsid w:val="006F698F"/>
    <w:rsid w:val="0070601B"/>
    <w:rsid w:val="00710FE3"/>
    <w:rsid w:val="00721DF9"/>
    <w:rsid w:val="00734368"/>
    <w:rsid w:val="00737CE7"/>
    <w:rsid w:val="00746838"/>
    <w:rsid w:val="0077034A"/>
    <w:rsid w:val="00774ECD"/>
    <w:rsid w:val="00781CCF"/>
    <w:rsid w:val="007914E1"/>
    <w:rsid w:val="007963EC"/>
    <w:rsid w:val="00796D5F"/>
    <w:rsid w:val="007A4182"/>
    <w:rsid w:val="007C6D4B"/>
    <w:rsid w:val="007C70E0"/>
    <w:rsid w:val="007D17B1"/>
    <w:rsid w:val="007D5E67"/>
    <w:rsid w:val="007E3BD6"/>
    <w:rsid w:val="008026C4"/>
    <w:rsid w:val="00804ED3"/>
    <w:rsid w:val="00815A05"/>
    <w:rsid w:val="0082162E"/>
    <w:rsid w:val="00826203"/>
    <w:rsid w:val="008533A2"/>
    <w:rsid w:val="008542F3"/>
    <w:rsid w:val="00865A62"/>
    <w:rsid w:val="0087647A"/>
    <w:rsid w:val="00881E73"/>
    <w:rsid w:val="00885C54"/>
    <w:rsid w:val="0089256F"/>
    <w:rsid w:val="008A0832"/>
    <w:rsid w:val="008B5271"/>
    <w:rsid w:val="008C332D"/>
    <w:rsid w:val="008F27B0"/>
    <w:rsid w:val="008F6F90"/>
    <w:rsid w:val="0092656D"/>
    <w:rsid w:val="0093365D"/>
    <w:rsid w:val="00937F53"/>
    <w:rsid w:val="00937FFC"/>
    <w:rsid w:val="009402A1"/>
    <w:rsid w:val="00941063"/>
    <w:rsid w:val="0094350D"/>
    <w:rsid w:val="00952F2F"/>
    <w:rsid w:val="00961A6D"/>
    <w:rsid w:val="00961CDA"/>
    <w:rsid w:val="00996818"/>
    <w:rsid w:val="009A0DF6"/>
    <w:rsid w:val="009A4BD4"/>
    <w:rsid w:val="009C410C"/>
    <w:rsid w:val="009D24B2"/>
    <w:rsid w:val="009D34F3"/>
    <w:rsid w:val="009D4528"/>
    <w:rsid w:val="009E3B21"/>
    <w:rsid w:val="009F125D"/>
    <w:rsid w:val="009F3400"/>
    <w:rsid w:val="00A1111B"/>
    <w:rsid w:val="00A1547A"/>
    <w:rsid w:val="00A17AA9"/>
    <w:rsid w:val="00A211A8"/>
    <w:rsid w:val="00A2243D"/>
    <w:rsid w:val="00A22D22"/>
    <w:rsid w:val="00A23B33"/>
    <w:rsid w:val="00A24AEB"/>
    <w:rsid w:val="00A25AB9"/>
    <w:rsid w:val="00A513A7"/>
    <w:rsid w:val="00A67F96"/>
    <w:rsid w:val="00A92164"/>
    <w:rsid w:val="00A9790E"/>
    <w:rsid w:val="00AA0207"/>
    <w:rsid w:val="00AA1E4B"/>
    <w:rsid w:val="00AC7241"/>
    <w:rsid w:val="00AD1A62"/>
    <w:rsid w:val="00AD4B66"/>
    <w:rsid w:val="00AF33BA"/>
    <w:rsid w:val="00AF600F"/>
    <w:rsid w:val="00AF602B"/>
    <w:rsid w:val="00B03DC1"/>
    <w:rsid w:val="00B04C63"/>
    <w:rsid w:val="00B114D1"/>
    <w:rsid w:val="00B11F0D"/>
    <w:rsid w:val="00B20740"/>
    <w:rsid w:val="00B25D38"/>
    <w:rsid w:val="00B25DEC"/>
    <w:rsid w:val="00B30F1B"/>
    <w:rsid w:val="00B46917"/>
    <w:rsid w:val="00B540C0"/>
    <w:rsid w:val="00B6001B"/>
    <w:rsid w:val="00B66234"/>
    <w:rsid w:val="00B679AF"/>
    <w:rsid w:val="00B803B2"/>
    <w:rsid w:val="00B847B9"/>
    <w:rsid w:val="00BA3B50"/>
    <w:rsid w:val="00BC6DE3"/>
    <w:rsid w:val="00BD4EA8"/>
    <w:rsid w:val="00BD7ABE"/>
    <w:rsid w:val="00BE3F84"/>
    <w:rsid w:val="00BE43B0"/>
    <w:rsid w:val="00BF2157"/>
    <w:rsid w:val="00C01AD7"/>
    <w:rsid w:val="00C02DF4"/>
    <w:rsid w:val="00C109A3"/>
    <w:rsid w:val="00C13786"/>
    <w:rsid w:val="00C45437"/>
    <w:rsid w:val="00C712A7"/>
    <w:rsid w:val="00C81ECD"/>
    <w:rsid w:val="00CA71B2"/>
    <w:rsid w:val="00CB29BB"/>
    <w:rsid w:val="00CB34CF"/>
    <w:rsid w:val="00CC230C"/>
    <w:rsid w:val="00CC381D"/>
    <w:rsid w:val="00CD21BC"/>
    <w:rsid w:val="00CE3072"/>
    <w:rsid w:val="00CF4EFE"/>
    <w:rsid w:val="00D04EC2"/>
    <w:rsid w:val="00D064CA"/>
    <w:rsid w:val="00D07AE7"/>
    <w:rsid w:val="00D12391"/>
    <w:rsid w:val="00D22EA0"/>
    <w:rsid w:val="00D24242"/>
    <w:rsid w:val="00D331F1"/>
    <w:rsid w:val="00D33781"/>
    <w:rsid w:val="00D33F20"/>
    <w:rsid w:val="00D41020"/>
    <w:rsid w:val="00D63CBC"/>
    <w:rsid w:val="00D65661"/>
    <w:rsid w:val="00D72AAF"/>
    <w:rsid w:val="00D769B1"/>
    <w:rsid w:val="00D85D7F"/>
    <w:rsid w:val="00D86BA1"/>
    <w:rsid w:val="00DC3C47"/>
    <w:rsid w:val="00DE7FA2"/>
    <w:rsid w:val="00DF7A10"/>
    <w:rsid w:val="00E02E35"/>
    <w:rsid w:val="00E2171D"/>
    <w:rsid w:val="00E30534"/>
    <w:rsid w:val="00E606BA"/>
    <w:rsid w:val="00E75566"/>
    <w:rsid w:val="00E773E9"/>
    <w:rsid w:val="00E9189B"/>
    <w:rsid w:val="00ED3A89"/>
    <w:rsid w:val="00ED49D5"/>
    <w:rsid w:val="00EF6DE6"/>
    <w:rsid w:val="00F02E5B"/>
    <w:rsid w:val="00F13432"/>
    <w:rsid w:val="00F16D79"/>
    <w:rsid w:val="00F234A0"/>
    <w:rsid w:val="00F41E27"/>
    <w:rsid w:val="00F65CB1"/>
    <w:rsid w:val="00F661E5"/>
    <w:rsid w:val="00F76AD8"/>
    <w:rsid w:val="00F90A87"/>
    <w:rsid w:val="00FA084B"/>
    <w:rsid w:val="00FA2BD6"/>
    <w:rsid w:val="00FA47FB"/>
    <w:rsid w:val="00FD16CE"/>
    <w:rsid w:val="00FD30F8"/>
    <w:rsid w:val="00FE2356"/>
    <w:rsid w:val="00FF3CC2"/>
    <w:rsid w:val="00FF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350C0"/>
  <w15:docId w15:val="{9171F54E-6DC7-4865-97F9-11580FD6D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8A0832"/>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2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587481"/>
    <w:rPr>
      <w:sz w:val="16"/>
      <w:szCs w:val="16"/>
    </w:rPr>
  </w:style>
  <w:style w:type="paragraph" w:styleId="CommentText">
    <w:name w:val="annotation text"/>
    <w:basedOn w:val="Normal"/>
    <w:link w:val="CommentTextChar"/>
    <w:uiPriority w:val="99"/>
    <w:unhideWhenUsed/>
    <w:rsid w:val="00587481"/>
    <w:pPr>
      <w:spacing w:before="0" w:after="0" w:line="240" w:lineRule="auto"/>
    </w:pPr>
    <w:rPr>
      <w:sz w:val="20"/>
      <w:szCs w:val="20"/>
    </w:rPr>
  </w:style>
  <w:style w:type="character" w:customStyle="1" w:styleId="CommentTextChar">
    <w:name w:val="Comment Text Char"/>
    <w:basedOn w:val="DefaultParagraphFont"/>
    <w:link w:val="CommentText"/>
    <w:uiPriority w:val="99"/>
    <w:rsid w:val="00587481"/>
    <w:rPr>
      <w:rFonts w:ascii="Palatino Linotype" w:eastAsia="Times New Roman" w:hAnsi="Palatino Linotype" w:cs="Calibri"/>
      <w:bCs/>
      <w:sz w:val="20"/>
      <w:szCs w:val="20"/>
    </w:rPr>
  </w:style>
  <w:style w:type="table" w:customStyle="1" w:styleId="TableGrid1">
    <w:name w:val="Table Grid1"/>
    <w:basedOn w:val="TableNormal"/>
    <w:next w:val="TableGrid"/>
    <w:uiPriority w:val="59"/>
    <w:rsid w:val="0070601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42F3"/>
    <w:pPr>
      <w:spacing w:before="120" w:after="120"/>
    </w:pPr>
    <w:rPr>
      <w:b/>
    </w:rPr>
  </w:style>
  <w:style w:type="character" w:customStyle="1" w:styleId="CommentSubjectChar">
    <w:name w:val="Comment Subject Char"/>
    <w:basedOn w:val="CommentTextChar"/>
    <w:link w:val="CommentSubject"/>
    <w:uiPriority w:val="99"/>
    <w:semiHidden/>
    <w:rsid w:val="008542F3"/>
    <w:rPr>
      <w:rFonts w:ascii="Palatino Linotype" w:eastAsia="Times New Roman" w:hAnsi="Palatino Linotype"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cfr.gov/cgi-bin/retrieveECFR?gp=&amp;SID=9e12773fef29d764418ba0662fa75054&amp;mc=true&amp;n=pt34.2.300&amp;r=PART&amp;ty=HTML" TargetMode="External"/><Relationship Id="rId18" Type="http://schemas.openxmlformats.org/officeDocument/2006/relationships/hyperlink" Target="https://www.ecfr.gov/cgi-bin/retrieveECFR?gp=&amp;SID=50561e2722550ade4e41f957ddc4e757&amp;mc=true&amp;n=sp34.2.300.b&amp;r=SUBPART&amp;ty=HTML" TargetMode="External"/><Relationship Id="rId26" Type="http://schemas.openxmlformats.org/officeDocument/2006/relationships/image" Target="media/image1.png"/><Relationship Id="rId39" Type="http://schemas.openxmlformats.org/officeDocument/2006/relationships/hyperlink" Target="https://education.vermont.gov/sites/aoe/files/documents/edu-series-2360-special-education-rules.pdf" TargetMode="External"/><Relationship Id="rId21" Type="http://schemas.openxmlformats.org/officeDocument/2006/relationships/hyperlink" Target="https://education.vermont.gov/sites/aoe/files/documents/edu-series-2360-special-education-rules.pdf" TargetMode="External"/><Relationship Id="rId34" Type="http://schemas.openxmlformats.org/officeDocument/2006/relationships/hyperlink" Target="https://www.ecfr.gov/cgi-bin/retrieveECFR?gp=&amp;SID=50561e2722550ade4e41f957ddc4e757&amp;mc=true&amp;n=sp34.2.300.b&amp;r=SUBPART&amp;ty=HTML" TargetMode="External"/><Relationship Id="rId42" Type="http://schemas.openxmlformats.org/officeDocument/2006/relationships/hyperlink" Target="https://legislature.vermont.gov/statutes/chapter/16/011" TargetMode="External"/><Relationship Id="rId47" Type="http://schemas.openxmlformats.org/officeDocument/2006/relationships/hyperlink" Target="https://www2.ed.gov/admins/lead/speced/privateschools/idea.pdf" TargetMode="External"/><Relationship Id="rId50" Type="http://schemas.openxmlformats.org/officeDocument/2006/relationships/hyperlink" Target="https://sites.ed.gov/idea/files/Private_School_QA_April_2011.pdf"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cfr.gov/cgi-bin/retrieveECFR?gp=&amp;SID=50561e2722550ade4e41f957ddc4e757&amp;mc=true&amp;n=sp34.2.300.b&amp;r=SUBPART&amp;ty=HTML" TargetMode="External"/><Relationship Id="rId29" Type="http://schemas.openxmlformats.org/officeDocument/2006/relationships/hyperlink" Target="https://education.vermont.gov/sites/aoe/files/documents/edu-series-2360-special-education-rules.pdf" TargetMode="External"/><Relationship Id="rId11" Type="http://schemas.openxmlformats.org/officeDocument/2006/relationships/hyperlink" Target="https://education.vermont.gov/sites/aoe/files/documents/edu-series-2360-special-education-rules.pdf" TargetMode="External"/><Relationship Id="rId24" Type="http://schemas.openxmlformats.org/officeDocument/2006/relationships/hyperlink" Target="https://www.ecfr.gov/cgi-bin/retrieveECFR?gp=&amp;SID=50561e2722550ade4e41f957ddc4e757&amp;mc=true&amp;n=sp34.2.300.b&amp;r=SUBPART&amp;ty=HTML" TargetMode="External"/><Relationship Id="rId32" Type="http://schemas.openxmlformats.org/officeDocument/2006/relationships/hyperlink" Target="https://www.ecfr.gov/cgi-bin/retrieveECFR?gp=&amp;SID=50561e2722550ade4e41f957ddc4e757&amp;mc=true&amp;n=sp34.2.300.b&amp;r=SUBPART&amp;ty=HTML" TargetMode="External"/><Relationship Id="rId37" Type="http://schemas.openxmlformats.org/officeDocument/2006/relationships/hyperlink" Target="https://education.vermont.gov/sites/aoe/files/documents/edu-series-2360-special-education-rules.pdf" TargetMode="External"/><Relationship Id="rId40" Type="http://schemas.openxmlformats.org/officeDocument/2006/relationships/image" Target="media/image3.png"/><Relationship Id="rId45" Type="http://schemas.openxmlformats.org/officeDocument/2006/relationships/hyperlink" Target="https://legislature.vermont.gov/statutes/title/16" TargetMode="External"/><Relationship Id="rId53" Type="http://schemas.openxmlformats.org/officeDocument/2006/relationships/footer" Target="foot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education.vermont.gov/sites/aoe/files/documents/edu-series-2360-special-education-rules.pdf" TargetMode="External"/><Relationship Id="rId31" Type="http://schemas.openxmlformats.org/officeDocument/2006/relationships/hyperlink" Target="https://education.vermont.gov/sites/aoe/files/documents/edu-series-2360-special-education-rules.pdf" TargetMode="External"/><Relationship Id="rId44" Type="http://schemas.openxmlformats.org/officeDocument/2006/relationships/hyperlink" Target="https://legislature.vermont.gov/statutes/title/16" TargetMode="External"/><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ucation.vermont.gov/sites/aoe/files/documents/edu-series-2360-special-education-rules.pdf" TargetMode="External"/><Relationship Id="rId22" Type="http://schemas.openxmlformats.org/officeDocument/2006/relationships/hyperlink" Target="https://education.vermont.gov/sites/aoe/files/documents/edu-series-2360-special-education-rules.pdf" TargetMode="External"/><Relationship Id="rId27" Type="http://schemas.openxmlformats.org/officeDocument/2006/relationships/image" Target="media/image2.png"/><Relationship Id="rId30" Type="http://schemas.openxmlformats.org/officeDocument/2006/relationships/hyperlink" Target="https://www.ecfr.gov/cgi-bin/retrieveECFR?gp=&amp;SID=50561e2722550ade4e41f957ddc4e757&amp;mc=true&amp;n=sp34.2.300.b&amp;r=SUBPART&amp;ty=HTML" TargetMode="External"/><Relationship Id="rId35" Type="http://schemas.openxmlformats.org/officeDocument/2006/relationships/hyperlink" Target="https://education.vermont.gov/sites/aoe/files/documents/edu-series-2360-special-education-rules.pdf" TargetMode="External"/><Relationship Id="rId43" Type="http://schemas.openxmlformats.org/officeDocument/2006/relationships/hyperlink" Target="https://legislature.vermont.gov/statutes/title/16" TargetMode="External"/><Relationship Id="rId48" Type="http://schemas.openxmlformats.org/officeDocument/2006/relationships/hyperlink" Target="https://sites.ed.gov/idea/topic-areas/"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ecfr.gov/cgi-bin/retrieveECFR?gp=&amp;SID=9e12773fef29d764418ba0662fa75054&amp;mc=true&amp;n=pt34.2.300&amp;r=PART&amp;ty=HTML" TargetMode="External"/><Relationship Id="rId17" Type="http://schemas.openxmlformats.org/officeDocument/2006/relationships/hyperlink" Target="https://education.vermont.gov/sites/aoe/files/documents/edu-series-2360-special-education-rules.pdf" TargetMode="External"/><Relationship Id="rId25" Type="http://schemas.openxmlformats.org/officeDocument/2006/relationships/hyperlink" Target="https://education.vermont.gov/sites/aoe/files/documents/edu-series-2360-special-education-rules.pdf" TargetMode="External"/><Relationship Id="rId33" Type="http://schemas.openxmlformats.org/officeDocument/2006/relationships/hyperlink" Target="https://education.vermont.gov/sites/aoe/files/documents/edu-series-2360-special-education-rules.pdf" TargetMode="External"/><Relationship Id="rId38" Type="http://schemas.openxmlformats.org/officeDocument/2006/relationships/hyperlink" Target="https://www.ecfr.gov/cgi-bin/retrieveECFR?gp=&amp;SID=9e12773fef29d764418ba0662fa75054&amp;mc=true&amp;n=pt34.2.300&amp;r=PART&amp;ty=HTML" TargetMode="External"/><Relationship Id="rId46" Type="http://schemas.openxmlformats.org/officeDocument/2006/relationships/hyperlink" Target="https://www.ecfr.gov/cgi-bin/retrieveECFR?gp=&amp;SID=92637b228fc0355703b9439c000b9bbb&amp;mc=true&amp;n=pt34.2.300&amp;r=PART&amp;ty=HTML" TargetMode="External"/><Relationship Id="rId20" Type="http://schemas.openxmlformats.org/officeDocument/2006/relationships/hyperlink" Target="https://www.ecfr.gov/cgi-bin/retrieveECFR?gp=&amp;SID=50561e2722550ade4e41f957ddc4e757&amp;mc=true&amp;n=sp34.2.300.b&amp;r=SUBPART&amp;ty=HTML" TargetMode="External"/><Relationship Id="rId41" Type="http://schemas.openxmlformats.org/officeDocument/2006/relationships/hyperlink" Target="https://www.ecfr.gov/cgi-bin/text-idx?SID=0f5529854ceddc8224de1b4680bd765d&amp;mc=true&amp;node=se34.2.300_113&amp;rgn=div8"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cfr.gov/cgi-bin/retrieveECFR?gp=&amp;SID=9e12773fef29d764418ba0662fa75054&amp;mc=true&amp;n=pt34.2.300&amp;r=PART&amp;ty=HTML" TargetMode="External"/><Relationship Id="rId23" Type="http://schemas.openxmlformats.org/officeDocument/2006/relationships/hyperlink" Target="https://www.ecfr.gov/cgi-bin/text-idx?SID=e9819b162b0c0bdf7f4639c51c458bdc&amp;mc=true&amp;node=se34.2.300_1111&amp;rgn=div8" TargetMode="External"/><Relationship Id="rId28" Type="http://schemas.openxmlformats.org/officeDocument/2006/relationships/hyperlink" Target="https://www.ecfr.gov/cgi-bin/retrieveECFR?gp=&amp;SID=50561e2722550ade4e41f957ddc4e757&amp;mc=true&amp;n=sp34.2.300.b&amp;r=SUBPART&amp;ty=HTML" TargetMode="External"/><Relationship Id="rId36" Type="http://schemas.openxmlformats.org/officeDocument/2006/relationships/hyperlink" Target="https://www.ecfr.gov/cgi-bin/retrieveECFR?gp=&amp;SID=50561e2722550ade4e41f957ddc4e757&amp;mc=true&amp;n=sp34.2.300.b&amp;r=SUBPART&amp;ty=HTML" TargetMode="External"/><Relationship Id="rId49" Type="http://schemas.openxmlformats.org/officeDocument/2006/relationships/hyperlink" Target="https://sites.ed.gov/idea/files/idea/policy/speced/guid/idea/memosdcltrs/acccombinedosersdisputeresolutionqafinalmemo-7-23-13.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ECD80-F812-4ECD-9F0B-C9A298D71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5D407D-49E1-461B-839B-45D11B48187D}">
  <ds:schemaRefs>
    <ds:schemaRef ds:uri="http://purl.org/dc/elements/1.1/"/>
    <ds:schemaRef ds:uri="http://purl.org/dc/term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schemas.microsoft.com/office/infopath/2007/PartnerControls"/>
    <ds:schemaRef ds:uri="442fffa6-e212-4b1d-8f86-f1d681d9d474"/>
    <ds:schemaRef ds:uri="ef263ebb-fdb0-43cd-998f-c1db9d47403b"/>
    <ds:schemaRef ds:uri="http://schemas.microsoft.com/sharepoint/v3"/>
    <ds:schemaRef ds:uri="http://www.w3.org/XML/1998/namespace"/>
  </ds:schemaRefs>
</ds:datastoreItem>
</file>

<file path=customXml/itemProps3.xml><?xml version="1.0" encoding="utf-8"?>
<ds:datastoreItem xmlns:ds="http://schemas.openxmlformats.org/officeDocument/2006/customXml" ds:itemID="{590848F9-2D83-4404-B038-AA5A99146F66}">
  <ds:schemaRefs>
    <ds:schemaRef ds:uri="http://schemas.microsoft.com/sharepoint/v3/contenttype/forms"/>
  </ds:schemaRefs>
</ds:datastoreItem>
</file>

<file path=customXml/itemProps4.xml><?xml version="1.0" encoding="utf-8"?>
<ds:datastoreItem xmlns:ds="http://schemas.openxmlformats.org/officeDocument/2006/customXml" ds:itemID="{84BBF45D-F498-41A4-8FC0-CB7EE5E49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18</Pages>
  <Words>3252</Words>
  <Characters>27553</Characters>
  <Application>Microsoft Office Word</Application>
  <DocSecurity>0</DocSecurity>
  <Lines>1020</Lines>
  <Paragraphs>504</Paragraphs>
  <ScaleCrop>false</ScaleCrop>
  <HeadingPairs>
    <vt:vector size="2" baseType="variant">
      <vt:variant>
        <vt:lpstr>Title</vt:lpstr>
      </vt:variant>
      <vt:variant>
        <vt:i4>1</vt:i4>
      </vt:variant>
    </vt:vector>
  </HeadingPairs>
  <TitlesOfParts>
    <vt:vector size="1" baseType="lpstr">
      <vt:lpstr>Parentally-Placed Students in Non-public Schools (including Home Study) and Proportionate Share Requirements</vt:lpstr>
    </vt:vector>
  </TitlesOfParts>
  <Company>Vermont Agency of Education</Company>
  <LinksUpToDate>false</LinksUpToDate>
  <CharactersWithSpaces>30301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#10 - Parentally-Placed Students in Non-public Schools (including Home Study) and Proportionate Share Requirements</dc:title>
  <dc:creator>Vermont Agency of Education</dc:creator>
  <cp:keywords/>
  <cp:lastModifiedBy>Chicoine, Lucille</cp:lastModifiedBy>
  <cp:revision>48</cp:revision>
  <cp:lastPrinted>2015-09-09T16:37:00Z</cp:lastPrinted>
  <dcterms:created xsi:type="dcterms:W3CDTF">2021-12-20T19:29:00Z</dcterms:created>
  <dcterms:modified xsi:type="dcterms:W3CDTF">2022-08-04T17:53:00Z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y fmtid="{D5CDD505-2E9C-101B-9397-08002B2CF9AE}" pid="3" name="MediaServiceImageTags">
    <vt:lpwstr/>
  </property>
</Properties>
</file>