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00E5" w:rsidR="009700E5" w:rsidP="009700E5" w:rsidRDefault="009700E5" w14:paraId="208C0156" w14:textId="77777777">
      <w:pPr>
        <w:spacing w:line="240" w:lineRule="auto"/>
        <w:jc w:val="center"/>
        <w:rPr>
          <w:rFonts w:ascii="Palatino Linotype" w:hAnsi="Palatino Linotype" w:eastAsia="Palatino Linotype" w:cs="Palatino Linotype"/>
          <w:b/>
          <w:sz w:val="24"/>
          <w:szCs w:val="24"/>
          <w:u w:val="single"/>
        </w:rPr>
      </w:pPr>
      <w:r w:rsidRPr="009700E5">
        <w:rPr>
          <w:rFonts w:ascii="Palatino Linotype" w:hAnsi="Palatino Linotype" w:eastAsia="Palatino Linotype" w:cs="Palatino Linotype"/>
          <w:b/>
          <w:sz w:val="24"/>
          <w:szCs w:val="24"/>
          <w:u w:val="single"/>
        </w:rPr>
        <w:t>Transcript Review Worksheet</w:t>
      </w:r>
    </w:p>
    <w:p w:rsidRPr="009700E5" w:rsidR="009700E5" w:rsidP="009700E5" w:rsidRDefault="009700E5" w14:paraId="672A6659" w14:textId="77777777">
      <w:pPr>
        <w:spacing w:line="240" w:lineRule="auto"/>
        <w:jc w:val="center"/>
        <w:rPr>
          <w:rFonts w:ascii="Palatino Linotype" w:hAnsi="Palatino Linotype" w:eastAsia="Palatino Linotype" w:cs="Palatino Linotype"/>
          <w:b/>
          <w:sz w:val="24"/>
          <w:szCs w:val="24"/>
          <w:u w:val="single"/>
        </w:rPr>
      </w:pPr>
    </w:p>
    <w:p w:rsidRPr="009700E5" w:rsidR="009700E5" w:rsidP="009700E5" w:rsidRDefault="009700E5" w14:paraId="5D9BA21E" w14:textId="5BC42F3E">
      <w:pPr>
        <w:spacing w:after="120" w:line="240" w:lineRule="auto"/>
        <w:jc w:val="center"/>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5440-</w:t>
      </w:r>
      <w:r w:rsidR="00EF59B2">
        <w:rPr>
          <w:rFonts w:ascii="Palatino Linotype" w:hAnsi="Palatino Linotype" w:eastAsia="Palatino Linotype" w:cs="Palatino Linotype"/>
          <w:b/>
          <w:sz w:val="24"/>
          <w:szCs w:val="24"/>
        </w:rPr>
        <w:t>72</w:t>
      </w:r>
      <w:r>
        <w:rPr>
          <w:rFonts w:ascii="Palatino Linotype" w:hAnsi="Palatino Linotype" w:eastAsia="Palatino Linotype" w:cs="Palatino Linotype"/>
          <w:b/>
          <w:sz w:val="24"/>
          <w:szCs w:val="24"/>
        </w:rPr>
        <w:t xml:space="preserve"> </w:t>
      </w:r>
      <w:r w:rsidR="00EF59B2">
        <w:rPr>
          <w:rFonts w:ascii="Palatino Linotype" w:hAnsi="Palatino Linotype" w:eastAsia="Palatino Linotype" w:cs="Palatino Linotype"/>
          <w:b/>
          <w:sz w:val="24"/>
          <w:szCs w:val="24"/>
        </w:rPr>
        <w:t>Math Specialist</w:t>
      </w:r>
      <w:r w:rsidRPr="009700E5">
        <w:rPr>
          <w:rFonts w:ascii="Palatino Linotype" w:hAnsi="Palatino Linotype" w:eastAsia="Palatino Linotype" w:cs="Palatino Linotype"/>
          <w:b/>
          <w:sz w:val="24"/>
          <w:szCs w:val="24"/>
        </w:rPr>
        <w:t xml:space="preserve"> </w:t>
      </w:r>
    </w:p>
    <w:p w:rsidRPr="00B01A2D" w:rsidR="003519B3" w:rsidP="0B4AF91B" w:rsidRDefault="00D31279" w14:paraId="0A37501D" w14:textId="6A1B8BD4" w14:noSpellErr="1">
      <w:pPr>
        <w:spacing w:line="240" w:lineRule="auto"/>
        <w:jc w:val="center"/>
        <w:rPr>
          <w:rFonts w:ascii="Palatino Linotype" w:hAnsi="Palatino Linotype" w:eastAsia="Palatino Linotype" w:cs="Palatino Linotype"/>
          <w:lang w:val="en-US"/>
        </w:rPr>
      </w:pPr>
      <w:r w:rsidRPr="0B4AF91B" w:rsidR="0B4AF91B">
        <w:rPr>
          <w:rFonts w:ascii="Palatino Linotype" w:hAnsi="Palatino Linotype"/>
          <w:lang w:val="en-US"/>
        </w:rPr>
        <w:t>The holder is authorized to function as a school-wide resource to support teachers and schools in implementing evidence-based mathematics instruction and assessment practices, and to provide instruction in mathematics to students in grades PK-12. This endorsement is limited to those who hold or who are eligible to hold endorsements in early childhood, elementary education, middle grades mathematics, secondary mathematics, or special education.</w:t>
      </w:r>
    </w:p>
    <w:p w:rsidRPr="00B01A2D" w:rsidR="003519B3" w:rsidP="003519B3" w:rsidRDefault="003519B3" w14:paraId="29D6B04F" w14:textId="77777777">
      <w:pPr>
        <w:spacing w:line="240" w:lineRule="auto"/>
        <w:jc w:val="center"/>
        <w:rPr>
          <w:rFonts w:ascii="Palatino Linotype" w:hAnsi="Palatino Linotype" w:eastAsia="Palatino Linotype" w:cs="Palatino Linotype"/>
          <w:b/>
        </w:rPr>
      </w:pPr>
      <w:r w:rsidRPr="00B01A2D">
        <w:rPr>
          <w:rFonts w:ascii="Palatino Linotype" w:hAnsi="Palatino Linotype" w:eastAsia="Palatino Linotype" w:cs="Palatino Linotype"/>
        </w:rPr>
        <w:t xml:space="preserve"> </w:t>
      </w:r>
    </w:p>
    <w:p w:rsidR="003519B3" w:rsidP="001B2865" w:rsidRDefault="001B2865" w14:paraId="0ACA3EC4" w14:textId="1B5EB999">
      <w:pPr>
        <w:spacing w:line="240" w:lineRule="auto"/>
        <w:rPr>
          <w:rFonts w:ascii="Palatino Linotype" w:hAnsi="Palatino Linotype" w:eastAsia="Palatino Linotype" w:cs="Palatino Linotype"/>
          <w:b/>
        </w:rPr>
      </w:pPr>
      <w:r>
        <w:rPr>
          <w:rFonts w:ascii="Palatino Linotype" w:hAnsi="Palatino Linotype" w:eastAsia="Palatino Linotype" w:cs="Palatino Linotype"/>
          <w:b/>
        </w:rPr>
        <w:t xml:space="preserve">                    </w:t>
      </w:r>
      <w:r w:rsidRPr="00B01A2D" w:rsidR="003519B3">
        <w:rPr>
          <w:rFonts w:ascii="Palatino Linotype" w:hAnsi="Palatino Linotype" w:eastAsia="Palatino Linotype" w:cs="Palatino Linotype"/>
          <w:b/>
        </w:rPr>
        <w:t xml:space="preserve">Name: </w:t>
      </w:r>
      <w:r>
        <w:rPr>
          <w:rFonts w:ascii="Palatino Linotype" w:hAnsi="Palatino Linotype" w:eastAsia="Palatino Linotype" w:cs="Palatino Linotype"/>
          <w:b/>
        </w:rPr>
        <w:t xml:space="preserve">                                                                                 </w:t>
      </w:r>
      <w:r w:rsidRPr="00B01A2D" w:rsidR="003519B3">
        <w:rPr>
          <w:rFonts w:ascii="Palatino Linotype" w:hAnsi="Palatino Linotype" w:eastAsia="Palatino Linotype" w:cs="Palatino Linotype"/>
          <w:b/>
        </w:rPr>
        <w:t>Educator ID#</w:t>
      </w:r>
      <w:r w:rsidR="009700E5">
        <w:rPr>
          <w:rFonts w:ascii="Palatino Linotype" w:hAnsi="Palatino Linotype" w:eastAsia="Palatino Linotype" w:cs="Palatino Linotype"/>
          <w:b/>
        </w:rPr>
        <w:t xml:space="preserve">: </w:t>
      </w:r>
      <w:r>
        <w:rPr>
          <w:rFonts w:ascii="Palatino Linotype" w:hAnsi="Palatino Linotype" w:eastAsia="Palatino Linotype" w:cs="Palatino Linotype"/>
          <w:b/>
        </w:rPr>
        <w:t xml:space="preserve">     </w:t>
      </w:r>
    </w:p>
    <w:p w:rsidRPr="00B01A2D" w:rsidR="009700E5" w:rsidP="003519B3" w:rsidRDefault="009700E5" w14:paraId="5DAB6C7B" w14:textId="77777777">
      <w:pPr>
        <w:spacing w:line="240" w:lineRule="auto"/>
        <w:jc w:val="center"/>
        <w:rPr>
          <w:rFonts w:ascii="Palatino Linotype" w:hAnsi="Palatino Linotype" w:eastAsia="Palatino Linotype" w:cs="Palatino Linotype"/>
          <w:b/>
        </w:rPr>
      </w:pPr>
    </w:p>
    <w:p w:rsidRPr="0058200E" w:rsidR="009700E5" w:rsidP="009700E5" w:rsidRDefault="00000000" w14:paraId="7526EBEB" w14:textId="639390B6">
      <w:pPr>
        <w:spacing w:line="240" w:lineRule="auto"/>
        <w:jc w:val="center"/>
        <w:rPr>
          <w:rFonts w:ascii="Palatino Linotype" w:hAnsi="Palatino Linotype" w:eastAsia="Times New Roman" w:cs="Times New Roman"/>
          <w:b/>
        </w:rPr>
      </w:pPr>
      <w:sdt>
        <w:sdtPr>
          <w:rPr>
            <w:rFonts w:ascii="Palatino Linotype" w:hAnsi="Palatino Linotype" w:eastAsia="Times New Roman" w:cs="Segoe UI Symbol"/>
            <w:b/>
          </w:rPr>
          <w:id w:val="429404082"/>
          <w14:checkbox>
            <w14:checked w14:val="0"/>
            <w14:checkedState w14:val="2612" w14:font="MS Gothic"/>
            <w14:uncheckedState w14:val="2610" w14:font="MS Gothic"/>
          </w14:checkbox>
        </w:sdtPr>
        <w:sdtContent>
          <w:r w:rsidR="00D31279">
            <w:rPr>
              <w:rFonts w:hint="eastAsia" w:ascii="MS Gothic" w:hAnsi="MS Gothic" w:eastAsia="MS Gothic" w:cs="Segoe UI Symbol"/>
              <w:b/>
            </w:rPr>
            <w:t>☐</w:t>
          </w:r>
        </w:sdtContent>
      </w:sdt>
      <w:r w:rsidRPr="0058200E" w:rsidR="009700E5">
        <w:rPr>
          <w:rFonts w:ascii="Palatino Linotype" w:hAnsi="Palatino Linotype" w:eastAsia="Times New Roman" w:cs="Times New Roman"/>
          <w:b/>
        </w:rPr>
        <w:t xml:space="preserve"> Add Endorsement</w:t>
      </w:r>
      <w:r w:rsidRPr="0058200E" w:rsidR="009700E5">
        <w:rPr>
          <w:rFonts w:ascii="Palatino Linotype" w:hAnsi="Palatino Linotype" w:eastAsia="Times New Roman" w:cs="Times New Roman"/>
          <w:b/>
        </w:rPr>
        <w:tab/>
      </w:r>
      <w:r w:rsidRPr="0058200E" w:rsidR="009700E5">
        <w:rPr>
          <w:rFonts w:ascii="Palatino Linotype" w:hAnsi="Palatino Linotype" w:eastAsia="Times New Roman" w:cs="Times New Roman"/>
          <w:b/>
        </w:rPr>
        <w:tab/>
      </w:r>
      <w:r w:rsidRPr="0058200E" w:rsidR="009700E5">
        <w:rPr>
          <w:rFonts w:ascii="Palatino Linotype" w:hAnsi="Palatino Linotype" w:eastAsia="Times New Roman" w:cs="Times New Roman"/>
          <w:b/>
        </w:rPr>
        <w:tab/>
      </w:r>
      <w:sdt>
        <w:sdtPr>
          <w:rPr>
            <w:rFonts w:ascii="Palatino Linotype" w:hAnsi="Palatino Linotype" w:eastAsia="Times New Roman" w:cs="Times New Roman"/>
            <w:b/>
          </w:rPr>
          <w:id w:val="164519261"/>
          <w14:checkbox>
            <w14:checked w14:val="0"/>
            <w14:checkedState w14:val="2612" w14:font="MS Gothic"/>
            <w14:uncheckedState w14:val="2610" w14:font="MS Gothic"/>
          </w14:checkbox>
        </w:sdtPr>
        <w:sdtContent>
          <w:r w:rsidRPr="0058200E" w:rsidR="009700E5">
            <w:rPr>
              <w:rFonts w:ascii="Segoe UI Symbol" w:hAnsi="Segoe UI Symbol" w:eastAsia="MS Gothic" w:cs="Segoe UI Symbol"/>
              <w:b/>
            </w:rPr>
            <w:t>☐</w:t>
          </w:r>
        </w:sdtContent>
      </w:sdt>
      <w:r w:rsidRPr="0058200E" w:rsidR="009700E5">
        <w:rPr>
          <w:rFonts w:ascii="Palatino Linotype" w:hAnsi="Palatino Linotype" w:eastAsia="Times New Roman" w:cs="Times New Roman"/>
          <w:b/>
        </w:rPr>
        <w:t xml:space="preserve"> Course Audit</w:t>
      </w:r>
    </w:p>
    <w:p w:rsidRPr="00B01A2D" w:rsidR="003519B3" w:rsidP="003519B3" w:rsidRDefault="003519B3" w14:paraId="6A05A809" w14:textId="77777777">
      <w:pPr>
        <w:spacing w:line="240" w:lineRule="auto"/>
        <w:jc w:val="center"/>
        <w:rPr>
          <w:rFonts w:ascii="Palatino Linotype" w:hAnsi="Palatino Linotype" w:eastAsia="Palatino Linotype" w:cs="Palatino Linotype"/>
          <w:b/>
        </w:rPr>
      </w:pPr>
    </w:p>
    <w:tbl>
      <w:tblPr>
        <w:tblW w:w="96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220"/>
        <w:gridCol w:w="2130"/>
        <w:gridCol w:w="2310"/>
      </w:tblGrid>
      <w:tr w:rsidRPr="001D20C4" w:rsidR="001D20C4" w:rsidTr="0B4AF91B" w14:paraId="4430C825" w14:textId="77777777">
        <w:trPr>
          <w:tblHeader/>
          <w:jc w:val="center"/>
        </w:trPr>
        <w:tc>
          <w:tcPr>
            <w:tcW w:w="5220" w:type="dxa"/>
            <w:tcBorders>
              <w:bottom w:val="single" w:color="000000" w:themeColor="text1" w:sz="4" w:space="0"/>
            </w:tcBorders>
            <w:shd w:val="clear" w:color="auto" w:fill="CCCCCC"/>
            <w:tcMar/>
            <w:vAlign w:val="center"/>
          </w:tcPr>
          <w:p w:rsidRPr="001D20C4" w:rsidR="001D20C4" w:rsidP="00962655" w:rsidRDefault="001D20C4" w14:paraId="291E35A2" w14:textId="77777777">
            <w:pPr>
              <w:keepNext/>
              <w:spacing w:line="240" w:lineRule="auto"/>
              <w:jc w:val="center"/>
              <w:rPr>
                <w:rFonts w:ascii="Palatino Linotype" w:hAnsi="Palatino Linotype" w:eastAsia="Palatino Linotype" w:cs="Palatino Linotype"/>
                <w:b/>
              </w:rPr>
            </w:pPr>
            <w:r w:rsidRPr="001D20C4">
              <w:rPr>
                <w:rFonts w:ascii="Palatino Linotype" w:hAnsi="Palatino Linotype" w:eastAsia="Palatino Linotype" w:cs="Palatino Linotype"/>
                <w:b/>
              </w:rPr>
              <w:t>Content</w:t>
            </w:r>
          </w:p>
          <w:p w:rsidRPr="001D20C4" w:rsidR="001D20C4" w:rsidP="00962655" w:rsidRDefault="001D20C4" w14:paraId="78607F21" w14:textId="77777777">
            <w:pPr>
              <w:keepNext/>
              <w:spacing w:line="240" w:lineRule="auto"/>
              <w:jc w:val="center"/>
              <w:rPr>
                <w:rFonts w:ascii="Palatino Linotype" w:hAnsi="Palatino Linotype" w:eastAsia="Palatino Linotype" w:cs="Palatino Linotype"/>
                <w:b/>
              </w:rPr>
            </w:pPr>
            <w:r w:rsidRPr="001D20C4">
              <w:rPr>
                <w:rFonts w:ascii="Palatino Linotype" w:hAnsi="Palatino Linotype" w:eastAsia="Palatino Linotype" w:cs="Palatino Linotype"/>
                <w:b/>
              </w:rPr>
              <w:t xml:space="preserve"> Topic</w:t>
            </w:r>
          </w:p>
        </w:tc>
        <w:tc>
          <w:tcPr>
            <w:tcW w:w="2130" w:type="dxa"/>
            <w:tcBorders>
              <w:bottom w:val="single" w:color="000000" w:themeColor="text1" w:sz="4" w:space="0"/>
            </w:tcBorders>
            <w:shd w:val="clear" w:color="auto" w:fill="CCCCCC"/>
            <w:tcMar/>
            <w:vAlign w:val="center"/>
          </w:tcPr>
          <w:p w:rsidRPr="001D20C4" w:rsidR="001D20C4" w:rsidP="00962655" w:rsidRDefault="001D20C4" w14:paraId="156FD93D" w14:textId="77777777">
            <w:pPr>
              <w:keepNext/>
              <w:spacing w:line="240" w:lineRule="auto"/>
              <w:jc w:val="center"/>
              <w:rPr>
                <w:rFonts w:ascii="Palatino Linotype" w:hAnsi="Palatino Linotype" w:eastAsia="Palatino Linotype" w:cs="Palatino Linotype"/>
                <w:b/>
              </w:rPr>
            </w:pPr>
            <w:r w:rsidRPr="001D20C4">
              <w:rPr>
                <w:rFonts w:ascii="Palatino Linotype" w:hAnsi="Palatino Linotype" w:eastAsia="Palatino Linotype" w:cs="Palatino Linotype"/>
                <w:b/>
              </w:rPr>
              <w:t>College/</w:t>
            </w:r>
          </w:p>
          <w:p w:rsidRPr="001D20C4" w:rsidR="001D20C4" w:rsidP="00962655" w:rsidRDefault="001D20C4" w14:paraId="6FDA3865" w14:textId="77777777">
            <w:pPr>
              <w:keepNext/>
              <w:spacing w:line="240" w:lineRule="auto"/>
              <w:jc w:val="center"/>
              <w:rPr>
                <w:rFonts w:ascii="Palatino Linotype" w:hAnsi="Palatino Linotype" w:eastAsia="Palatino Linotype" w:cs="Palatino Linotype"/>
                <w:b/>
              </w:rPr>
            </w:pPr>
            <w:r w:rsidRPr="001D20C4">
              <w:rPr>
                <w:rFonts w:ascii="Palatino Linotype" w:hAnsi="Palatino Linotype" w:eastAsia="Palatino Linotype" w:cs="Palatino Linotype"/>
                <w:b/>
              </w:rPr>
              <w:t>University</w:t>
            </w:r>
          </w:p>
        </w:tc>
        <w:tc>
          <w:tcPr>
            <w:tcW w:w="2310" w:type="dxa"/>
            <w:tcBorders>
              <w:bottom w:val="single" w:color="000000" w:themeColor="text1" w:sz="4" w:space="0"/>
            </w:tcBorders>
            <w:shd w:val="clear" w:color="auto" w:fill="CCCCCC"/>
            <w:tcMar/>
            <w:vAlign w:val="center"/>
          </w:tcPr>
          <w:p w:rsidRPr="001D20C4" w:rsidR="001D20C4" w:rsidP="00962655" w:rsidRDefault="001D20C4" w14:paraId="36E5840A" w14:textId="77777777">
            <w:pPr>
              <w:spacing w:line="240" w:lineRule="auto"/>
              <w:jc w:val="center"/>
              <w:rPr>
                <w:rFonts w:ascii="Palatino Linotype" w:hAnsi="Palatino Linotype" w:eastAsia="Palatino Linotype" w:cs="Palatino Linotype"/>
                <w:b/>
              </w:rPr>
            </w:pPr>
            <w:r w:rsidRPr="001D20C4">
              <w:rPr>
                <w:rFonts w:ascii="Palatino Linotype" w:hAnsi="Palatino Linotype" w:eastAsia="Palatino Linotype" w:cs="Palatino Linotype"/>
                <w:b/>
              </w:rPr>
              <w:t>Course</w:t>
            </w:r>
          </w:p>
          <w:p w:rsidRPr="001D20C4" w:rsidR="001D20C4" w:rsidP="234FA174" w:rsidRDefault="448081B2" w14:paraId="15F94F2D" w14:textId="75F58ED6">
            <w:pPr>
              <w:spacing w:line="240" w:lineRule="auto"/>
              <w:jc w:val="center"/>
              <w:rPr>
                <w:rFonts w:ascii="Palatino Linotype" w:hAnsi="Palatino Linotype" w:eastAsia="Palatino Linotype" w:cs="Palatino Linotype"/>
                <w:b/>
                <w:bCs/>
              </w:rPr>
            </w:pPr>
            <w:r w:rsidRPr="234FA174">
              <w:rPr>
                <w:rFonts w:ascii="Palatino Linotype" w:hAnsi="Palatino Linotype" w:eastAsia="Palatino Linotype" w:cs="Palatino Linotype"/>
                <w:b/>
                <w:bCs/>
              </w:rPr>
              <w:t>Name/</w:t>
            </w:r>
            <w:r w:rsidRPr="234FA174" w:rsidR="001D20C4">
              <w:rPr>
                <w:rFonts w:ascii="Palatino Linotype" w:hAnsi="Palatino Linotype" w:eastAsia="Palatino Linotype" w:cs="Palatino Linotype"/>
                <w:b/>
                <w:bCs/>
              </w:rPr>
              <w:t>Number</w:t>
            </w:r>
          </w:p>
        </w:tc>
      </w:tr>
      <w:tr w:rsidRPr="001D20C4" w:rsidR="001D20C4" w:rsidTr="0B4AF91B" w14:paraId="566BB3FC" w14:textId="77777777">
        <w:trPr>
          <w:trHeight w:val="395"/>
          <w:jc w:val="center"/>
        </w:trPr>
        <w:tc>
          <w:tcPr>
            <w:tcW w:w="5220" w:type="dxa"/>
            <w:tcMar/>
          </w:tcPr>
          <w:p w:rsidRPr="008361C8" w:rsidR="0063365A" w:rsidP="008361C8" w:rsidRDefault="008361C8" w14:paraId="4A049D6E" w14:textId="08E9BDAE">
            <w:pPr>
              <w:autoSpaceDE w:val="0"/>
              <w:autoSpaceDN w:val="0"/>
              <w:adjustRightInd w:val="0"/>
              <w:spacing w:line="240" w:lineRule="auto"/>
              <w:rPr>
                <w:rFonts w:ascii="Palatino Linotype" w:hAnsi="Palatino Linotype"/>
              </w:rPr>
            </w:pPr>
            <w:r>
              <w:rPr>
                <w:rFonts w:ascii="Palatino Linotype" w:hAnsi="Palatino Linotype"/>
              </w:rPr>
              <w:t xml:space="preserve">1. </w:t>
            </w:r>
            <w:r w:rsidRPr="008361C8" w:rsidR="00711EB5">
              <w:rPr>
                <w:rFonts w:ascii="Palatino Linotype" w:hAnsi="Palatino Linotype"/>
              </w:rPr>
              <w:t xml:space="preserve">Content Knowledge – </w:t>
            </w:r>
          </w:p>
          <w:p w:rsidRPr="008361C8" w:rsidR="001D20C4" w:rsidP="0B4AF91B" w:rsidRDefault="00711EB5" w14:paraId="4920D544" w14:textId="56A9C558" w14:noSpellErr="1">
            <w:pPr>
              <w:autoSpaceDE w:val="0"/>
              <w:autoSpaceDN w:val="0"/>
              <w:adjustRightInd w:val="0"/>
              <w:spacing w:line="240" w:lineRule="auto"/>
              <w:rPr>
                <w:rFonts w:ascii="Palatino Linotype" w:hAnsi="Palatino Linotype"/>
                <w:lang w:val="en-US"/>
              </w:rPr>
            </w:pPr>
            <w:r w:rsidRPr="0B4AF91B" w:rsidR="0B4AF91B">
              <w:rPr>
                <w:rFonts w:ascii="Palatino Linotype" w:hAnsi="Palatino Linotype"/>
                <w:lang w:val="en-US"/>
              </w:rPr>
              <w:t>Effective Mathematics Specialists know, understand, teach and communicate their mathematical knowledge with the breadth of understanding that reflects proficiency within and among the mathematical domains identified by AMTE and NCTM</w:t>
            </w:r>
            <w:r w:rsidRPr="0B4AF91B" w:rsidR="0B4AF91B">
              <w:rPr>
                <w:rFonts w:ascii="Palatino Linotype" w:hAnsi="Palatino Linotype"/>
                <w:lang w:val="en-US"/>
              </w:rPr>
              <w:t>:</w:t>
            </w:r>
          </w:p>
        </w:tc>
        <w:tc>
          <w:tcPr>
            <w:tcW w:w="2130" w:type="dxa"/>
            <w:tcMar/>
          </w:tcPr>
          <w:p w:rsidRPr="001D20C4" w:rsidR="001D20C4" w:rsidP="00962655" w:rsidRDefault="001D20C4" w14:paraId="5A39BBE3" w14:textId="77777777">
            <w:pPr>
              <w:keepNext/>
              <w:spacing w:line="240" w:lineRule="auto"/>
              <w:rPr>
                <w:rFonts w:ascii="Palatino Linotype" w:hAnsi="Palatino Linotype" w:eastAsia="Palatino Linotype" w:cs="Palatino Linotype"/>
                <w:b/>
              </w:rPr>
            </w:pPr>
          </w:p>
        </w:tc>
        <w:tc>
          <w:tcPr>
            <w:tcW w:w="2310" w:type="dxa"/>
            <w:tcMar/>
          </w:tcPr>
          <w:p w:rsidRPr="001D20C4" w:rsidR="001D20C4" w:rsidP="00962655" w:rsidRDefault="001D20C4" w14:paraId="41C8F396" w14:textId="77777777">
            <w:pPr>
              <w:spacing w:line="240" w:lineRule="auto"/>
              <w:rPr>
                <w:rFonts w:ascii="Palatino Linotype" w:hAnsi="Palatino Linotype" w:eastAsia="Palatino Linotype" w:cs="Palatino Linotype"/>
                <w:b/>
              </w:rPr>
            </w:pPr>
          </w:p>
        </w:tc>
      </w:tr>
      <w:tr w:rsidRPr="001D20C4" w:rsidR="001D20C4" w:rsidTr="0B4AF91B" w14:paraId="1A4BBF64" w14:textId="77777777">
        <w:trPr>
          <w:trHeight w:val="566"/>
          <w:jc w:val="center"/>
        </w:trPr>
        <w:tc>
          <w:tcPr>
            <w:tcW w:w="5220" w:type="dxa"/>
            <w:tcMar/>
          </w:tcPr>
          <w:p w:rsidRPr="001D20C4" w:rsidR="001D20C4" w:rsidP="00962655" w:rsidRDefault="001D20C4" w14:paraId="4DAB00E1" w14:textId="655F0AA4">
            <w:pPr>
              <w:autoSpaceDE w:val="0"/>
              <w:autoSpaceDN w:val="0"/>
              <w:adjustRightInd w:val="0"/>
              <w:spacing w:line="240" w:lineRule="auto"/>
              <w:rPr>
                <w:rFonts w:ascii="Palatino Linotype" w:hAnsi="Palatino Linotype" w:eastAsia="Palatino Linotype" w:cs="Palatino Linotype"/>
              </w:rPr>
            </w:pPr>
            <w:r w:rsidRPr="001D20C4">
              <w:rPr>
                <w:rFonts w:ascii="Palatino Linotype" w:hAnsi="Palatino Linotype"/>
              </w:rPr>
              <w:t xml:space="preserve">1.1. </w:t>
            </w:r>
            <w:r w:rsidR="00C546D3">
              <w:rPr>
                <w:rFonts w:ascii="Palatino Linotype" w:hAnsi="Palatino Linotype" w:cs="Palatino Linotype"/>
              </w:rPr>
              <w:t>Number and Operations</w:t>
            </w:r>
          </w:p>
        </w:tc>
        <w:tc>
          <w:tcPr>
            <w:tcW w:w="2130" w:type="dxa"/>
            <w:tcMar/>
          </w:tcPr>
          <w:p w:rsidRPr="00837115" w:rsidR="000854DE" w:rsidP="00962655" w:rsidRDefault="000854DE" w14:paraId="1AB88F95" w14:textId="77777777">
            <w:pPr>
              <w:keepNext/>
              <w:spacing w:line="240" w:lineRule="auto"/>
              <w:rPr>
                <w:rFonts w:ascii="Palatino Linotype" w:hAnsi="Palatino Linotype" w:eastAsia="Palatino Linotype" w:cs="Palatino Linotype"/>
                <w:b/>
                <w:color w:val="000000" w:themeColor="text1"/>
              </w:rPr>
            </w:pPr>
          </w:p>
          <w:p w:rsidRPr="00837115" w:rsidR="000854DE" w:rsidP="00962655" w:rsidRDefault="000854DE" w14:paraId="0E27B00A" w14:textId="7002AA7A">
            <w:pPr>
              <w:keepNext/>
              <w:spacing w:line="240" w:lineRule="auto"/>
              <w:rPr>
                <w:rFonts w:ascii="Palatino Linotype" w:hAnsi="Palatino Linotype" w:eastAsia="Palatino Linotype" w:cs="Palatino Linotype"/>
                <w:b/>
                <w:color w:val="000000" w:themeColor="text1"/>
              </w:rPr>
            </w:pPr>
          </w:p>
        </w:tc>
        <w:tc>
          <w:tcPr>
            <w:tcW w:w="2310" w:type="dxa"/>
            <w:tcMar/>
          </w:tcPr>
          <w:p w:rsidRPr="00837115" w:rsidR="000854DE" w:rsidP="00962655" w:rsidRDefault="000854DE" w14:paraId="60061E4C" w14:textId="54E55360">
            <w:pPr>
              <w:spacing w:line="240" w:lineRule="auto"/>
              <w:rPr>
                <w:rFonts w:ascii="Palatino Linotype" w:hAnsi="Palatino Linotype" w:eastAsia="Palatino Linotype" w:cs="Palatino Linotype"/>
                <w:b/>
                <w:color w:val="000000" w:themeColor="text1"/>
              </w:rPr>
            </w:pPr>
          </w:p>
        </w:tc>
      </w:tr>
      <w:tr w:rsidRPr="001D20C4" w:rsidR="001D20C4" w:rsidTr="0B4AF91B" w14:paraId="5447DCE2" w14:textId="77777777">
        <w:trPr>
          <w:trHeight w:val="566"/>
          <w:jc w:val="center"/>
        </w:trPr>
        <w:tc>
          <w:tcPr>
            <w:tcW w:w="5220" w:type="dxa"/>
            <w:shd w:val="clear" w:color="auto" w:fill="auto"/>
            <w:tcMar/>
          </w:tcPr>
          <w:p w:rsidR="001D20C4" w:rsidP="00C546D3" w:rsidRDefault="00C546D3" w14:paraId="110B1A21" w14:textId="77777777">
            <w:pPr>
              <w:autoSpaceDE w:val="0"/>
              <w:autoSpaceDN w:val="0"/>
              <w:adjustRightInd w:val="0"/>
              <w:spacing w:line="240" w:lineRule="auto"/>
              <w:rPr>
                <w:rFonts w:ascii="Palatino Linotype" w:hAnsi="Palatino Linotype"/>
              </w:rPr>
            </w:pPr>
            <w:r>
              <w:rPr>
                <w:rFonts w:ascii="Palatino Linotype" w:hAnsi="Palatino Linotype"/>
              </w:rPr>
              <w:t>1.2 Algebra and Functions</w:t>
            </w:r>
          </w:p>
          <w:p w:rsidRPr="00C546D3" w:rsidR="001A4E7A" w:rsidP="00C546D3" w:rsidRDefault="001A4E7A" w14:paraId="11DEF8A2" w14:textId="0B5EA465">
            <w:pPr>
              <w:autoSpaceDE w:val="0"/>
              <w:autoSpaceDN w:val="0"/>
              <w:adjustRightInd w:val="0"/>
              <w:spacing w:line="240" w:lineRule="auto"/>
              <w:rPr>
                <w:rFonts w:ascii="Palatino Linotype" w:hAnsi="Palatino Linotype"/>
              </w:rPr>
            </w:pPr>
          </w:p>
        </w:tc>
        <w:tc>
          <w:tcPr>
            <w:tcW w:w="2130" w:type="dxa"/>
            <w:shd w:val="clear" w:color="auto" w:fill="auto"/>
            <w:tcMar/>
          </w:tcPr>
          <w:p w:rsidRPr="00837115" w:rsidR="001D20C4" w:rsidP="00A460CC" w:rsidRDefault="001D20C4" w14:paraId="3DEEC669" w14:textId="3EE5E287">
            <w:pPr>
              <w:keepNext/>
              <w:spacing w:line="240" w:lineRule="auto"/>
              <w:rPr>
                <w:rFonts w:ascii="Palatino Linotype" w:hAnsi="Palatino Linotype" w:eastAsia="Palatino Linotype" w:cs="Palatino Linotype"/>
                <w:b/>
                <w:color w:val="000000" w:themeColor="text1"/>
              </w:rPr>
            </w:pPr>
          </w:p>
        </w:tc>
        <w:tc>
          <w:tcPr>
            <w:tcW w:w="2310" w:type="dxa"/>
            <w:shd w:val="clear" w:color="auto" w:fill="auto"/>
            <w:tcMar/>
          </w:tcPr>
          <w:p w:rsidRPr="00837115" w:rsidR="000D2F41" w:rsidP="00C546D3" w:rsidRDefault="000D2F41" w14:paraId="3656B9AB" w14:textId="588BD34B">
            <w:pPr>
              <w:pStyle w:val="ListParagraph"/>
              <w:spacing w:line="240" w:lineRule="auto"/>
              <w:rPr>
                <w:rFonts w:ascii="Palatino Linotype" w:hAnsi="Palatino Linotype" w:eastAsia="Palatino Linotype" w:cs="Palatino Linotype"/>
                <w:b/>
                <w:color w:val="000000" w:themeColor="text1"/>
              </w:rPr>
            </w:pPr>
          </w:p>
        </w:tc>
      </w:tr>
      <w:tr w:rsidRPr="001D20C4" w:rsidR="001D20C4" w:rsidTr="0B4AF91B" w14:paraId="5C2CE9A4" w14:textId="77777777">
        <w:trPr>
          <w:trHeight w:val="503"/>
          <w:jc w:val="center"/>
        </w:trPr>
        <w:tc>
          <w:tcPr>
            <w:tcW w:w="5220" w:type="dxa"/>
            <w:tcMar/>
          </w:tcPr>
          <w:p w:rsidRPr="00C546D3" w:rsidR="001D20C4" w:rsidP="00C546D3" w:rsidRDefault="00C546D3" w14:paraId="2DA6E1C7" w14:textId="3072D81A">
            <w:pPr>
              <w:autoSpaceDE w:val="0"/>
              <w:autoSpaceDN w:val="0"/>
              <w:adjustRightInd w:val="0"/>
              <w:spacing w:line="240" w:lineRule="auto"/>
              <w:rPr>
                <w:rFonts w:ascii="Palatino Linotype" w:hAnsi="Palatino Linotype" w:cs="Palatino Linotype" w:eastAsiaTheme="minorHAnsi"/>
                <w:color w:val="000000"/>
                <w:lang w:val="en-US"/>
              </w:rPr>
            </w:pPr>
            <w:r>
              <w:rPr>
                <w:rFonts w:ascii="Palatino Linotype" w:hAnsi="Palatino Linotype" w:cs="Palatino Linotype" w:eastAsiaTheme="minorHAnsi"/>
                <w:color w:val="000000"/>
                <w:lang w:val="en-US"/>
              </w:rPr>
              <w:t>1.3 Geometry and Measurement</w:t>
            </w:r>
          </w:p>
        </w:tc>
        <w:tc>
          <w:tcPr>
            <w:tcW w:w="2130" w:type="dxa"/>
            <w:tcMar/>
          </w:tcPr>
          <w:p w:rsidRPr="001D20C4" w:rsidR="001D20C4" w:rsidP="00A460CC" w:rsidRDefault="001D20C4" w14:paraId="53128261" w14:textId="2711E933">
            <w:pPr>
              <w:keepNext/>
              <w:spacing w:line="240" w:lineRule="auto"/>
              <w:rPr>
                <w:rFonts w:ascii="Palatino Linotype" w:hAnsi="Palatino Linotype" w:eastAsia="Palatino Linotype" w:cs="Palatino Linotype"/>
                <w:b/>
              </w:rPr>
            </w:pPr>
          </w:p>
        </w:tc>
        <w:tc>
          <w:tcPr>
            <w:tcW w:w="2310" w:type="dxa"/>
            <w:tcMar/>
          </w:tcPr>
          <w:p w:rsidRPr="000D2F41" w:rsidR="001D20C4" w:rsidP="000D2F41" w:rsidRDefault="001D20C4" w14:paraId="62486C05" w14:textId="1AC644FF">
            <w:pPr>
              <w:pStyle w:val="ListParagraph"/>
              <w:numPr>
                <w:ilvl w:val="0"/>
                <w:numId w:val="3"/>
              </w:numPr>
              <w:spacing w:line="240" w:lineRule="auto"/>
              <w:rPr>
                <w:rFonts w:ascii="Palatino Linotype" w:hAnsi="Palatino Linotype" w:eastAsia="Palatino Linotype" w:cs="Palatino Linotype"/>
                <w:b/>
              </w:rPr>
            </w:pPr>
          </w:p>
        </w:tc>
      </w:tr>
      <w:tr w:rsidRPr="001D20C4" w:rsidR="001D20C4" w:rsidTr="0B4AF91B" w14:paraId="5DF4734B" w14:textId="77777777">
        <w:trPr>
          <w:trHeight w:val="140"/>
          <w:jc w:val="center"/>
        </w:trPr>
        <w:tc>
          <w:tcPr>
            <w:tcW w:w="5220" w:type="dxa"/>
            <w:tcMar/>
          </w:tcPr>
          <w:p w:rsidR="001D20C4" w:rsidP="001A4E7A" w:rsidRDefault="001A4E7A" w14:paraId="60FF338A" w14:textId="77777777">
            <w:pPr>
              <w:pStyle w:val="Default"/>
              <w:rPr>
                <w:sz w:val="22"/>
                <w:szCs w:val="22"/>
                <w:lang w:val="en"/>
              </w:rPr>
            </w:pPr>
            <w:r w:rsidRPr="001A4E7A">
              <w:rPr>
                <w:sz w:val="22"/>
                <w:szCs w:val="22"/>
                <w:lang w:val="en"/>
              </w:rPr>
              <w:t>1.</w:t>
            </w:r>
            <w:r w:rsidRPr="001A4E7A">
              <w:rPr>
                <w:sz w:val="22"/>
                <w:szCs w:val="22"/>
                <w:lang w:val="en"/>
              </w:rPr>
              <w:t>4. Data</w:t>
            </w:r>
            <w:r w:rsidRPr="001A4E7A">
              <w:rPr>
                <w:sz w:val="22"/>
                <w:szCs w:val="22"/>
                <w:lang w:val="en"/>
              </w:rPr>
              <w:t xml:space="preserve"> Analysis and Probability</w:t>
            </w:r>
          </w:p>
          <w:p w:rsidRPr="001D20C4" w:rsidR="001A4E7A" w:rsidP="001A4E7A" w:rsidRDefault="001A4E7A" w14:paraId="7C926D3E" w14:textId="0A905818">
            <w:pPr>
              <w:pStyle w:val="Default"/>
              <w:rPr>
                <w:sz w:val="22"/>
                <w:szCs w:val="22"/>
              </w:rPr>
            </w:pPr>
          </w:p>
        </w:tc>
        <w:tc>
          <w:tcPr>
            <w:tcW w:w="2130" w:type="dxa"/>
            <w:tcMar/>
          </w:tcPr>
          <w:p w:rsidRPr="001D20C4" w:rsidR="001D20C4" w:rsidP="00A460CC" w:rsidRDefault="001D20C4" w14:paraId="1299C43A" w14:textId="1F750DAB">
            <w:pPr>
              <w:keepNext/>
              <w:spacing w:line="240" w:lineRule="auto"/>
              <w:rPr>
                <w:rFonts w:ascii="Palatino Linotype" w:hAnsi="Palatino Linotype" w:eastAsia="Palatino Linotype" w:cs="Palatino Linotype"/>
                <w:b/>
              </w:rPr>
            </w:pPr>
          </w:p>
        </w:tc>
        <w:tc>
          <w:tcPr>
            <w:tcW w:w="2310" w:type="dxa"/>
            <w:tcMar/>
          </w:tcPr>
          <w:p w:rsidRPr="000D2F41" w:rsidR="001D20C4" w:rsidP="000D2F41" w:rsidRDefault="001D20C4" w14:paraId="4DDBEF00" w14:textId="6C6018B5">
            <w:pPr>
              <w:pStyle w:val="ListParagraph"/>
              <w:numPr>
                <w:ilvl w:val="0"/>
                <w:numId w:val="3"/>
              </w:numPr>
              <w:spacing w:line="240" w:lineRule="auto"/>
              <w:rPr>
                <w:rFonts w:ascii="Palatino Linotype" w:hAnsi="Palatino Linotype" w:eastAsia="Palatino Linotype" w:cs="Palatino Linotype"/>
                <w:b/>
              </w:rPr>
            </w:pPr>
          </w:p>
        </w:tc>
      </w:tr>
      <w:tr w:rsidRPr="001D20C4" w:rsidR="001D20C4" w:rsidTr="0B4AF91B" w14:paraId="59F78095" w14:textId="77777777">
        <w:trPr>
          <w:trHeight w:val="494"/>
          <w:jc w:val="center"/>
        </w:trPr>
        <w:tc>
          <w:tcPr>
            <w:tcW w:w="5220" w:type="dxa"/>
            <w:tcMar/>
          </w:tcPr>
          <w:p w:rsidRPr="001D20C4" w:rsidR="001D20C4" w:rsidP="001A4E7A" w:rsidRDefault="001A4E7A" w14:paraId="5D35FB1F" w14:textId="72FED9CA">
            <w:pPr>
              <w:pStyle w:val="Default"/>
              <w:rPr>
                <w:sz w:val="22"/>
                <w:szCs w:val="22"/>
              </w:rPr>
            </w:pPr>
            <w:r>
              <w:rPr>
                <w:sz w:val="22"/>
                <w:szCs w:val="22"/>
              </w:rPr>
              <w:t>1.5 Trigonometry</w:t>
            </w:r>
            <w:r w:rsidRPr="001D20C4" w:rsidR="001D20C4">
              <w:rPr>
                <w:sz w:val="22"/>
                <w:szCs w:val="22"/>
              </w:rPr>
              <w:t xml:space="preserve"> </w:t>
            </w:r>
          </w:p>
        </w:tc>
        <w:tc>
          <w:tcPr>
            <w:tcW w:w="2130" w:type="dxa"/>
            <w:tcMar/>
          </w:tcPr>
          <w:p w:rsidRPr="00177E6E" w:rsidR="001D20C4" w:rsidP="00A460CC" w:rsidRDefault="001D20C4" w14:paraId="0FB78278" w14:textId="388BC8A1">
            <w:pPr>
              <w:keepNext/>
              <w:spacing w:line="240" w:lineRule="auto"/>
              <w:rPr>
                <w:rFonts w:ascii="Palatino Linotype" w:hAnsi="Palatino Linotype" w:eastAsia="Palatino Linotype" w:cs="Palatino Linotype"/>
                <w:b/>
                <w:color w:val="000000" w:themeColor="text1"/>
              </w:rPr>
            </w:pPr>
          </w:p>
        </w:tc>
        <w:tc>
          <w:tcPr>
            <w:tcW w:w="2310" w:type="dxa"/>
            <w:tcMar/>
          </w:tcPr>
          <w:p w:rsidRPr="00177E6E" w:rsidR="00BF24A2" w:rsidP="00BF24A2" w:rsidRDefault="00BF24A2" w14:paraId="1FC39945" w14:textId="7E225446">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1D20C4" w:rsidTr="0B4AF91B" w14:paraId="385B21C6" w14:textId="77777777">
        <w:trPr>
          <w:trHeight w:val="140"/>
          <w:jc w:val="center"/>
        </w:trPr>
        <w:tc>
          <w:tcPr>
            <w:tcW w:w="5220" w:type="dxa"/>
            <w:tcMar/>
          </w:tcPr>
          <w:p w:rsidR="001D20C4" w:rsidP="0079698D" w:rsidRDefault="0079698D" w14:paraId="7E9F3CAF" w14:textId="77777777">
            <w:pPr>
              <w:pStyle w:val="Default"/>
              <w:rPr>
                <w:sz w:val="22"/>
                <w:szCs w:val="22"/>
              </w:rPr>
            </w:pPr>
            <w:r>
              <w:rPr>
                <w:sz w:val="22"/>
                <w:szCs w:val="22"/>
              </w:rPr>
              <w:t>1.6 Calculus</w:t>
            </w:r>
          </w:p>
          <w:p w:rsidRPr="001D20C4" w:rsidR="0079698D" w:rsidP="0079698D" w:rsidRDefault="0079698D" w14:paraId="0075BE5E" w14:textId="1B808E0A">
            <w:pPr>
              <w:pStyle w:val="Default"/>
              <w:rPr>
                <w:sz w:val="22"/>
                <w:szCs w:val="22"/>
              </w:rPr>
            </w:pPr>
          </w:p>
        </w:tc>
        <w:tc>
          <w:tcPr>
            <w:tcW w:w="2130" w:type="dxa"/>
            <w:tcMar/>
          </w:tcPr>
          <w:p w:rsidRPr="00A65397" w:rsidR="001D20C4" w:rsidP="00A460CC" w:rsidRDefault="001D20C4" w14:paraId="62EBF3C5" w14:textId="08ADCB48">
            <w:pPr>
              <w:keepNext/>
              <w:spacing w:line="240" w:lineRule="auto"/>
              <w:rPr>
                <w:rFonts w:ascii="Palatino Linotype" w:hAnsi="Palatino Linotype" w:eastAsia="Palatino Linotype" w:cs="Palatino Linotype"/>
                <w:b/>
                <w:color w:val="000000" w:themeColor="text1"/>
              </w:rPr>
            </w:pPr>
          </w:p>
        </w:tc>
        <w:tc>
          <w:tcPr>
            <w:tcW w:w="2310" w:type="dxa"/>
            <w:tcMar/>
          </w:tcPr>
          <w:p w:rsidRPr="00A65397" w:rsidR="001D20C4" w:rsidP="00BF24A2" w:rsidRDefault="001D20C4" w14:paraId="6D98A12B" w14:textId="1C435134">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1D20C4" w:rsidTr="0B4AF91B" w14:paraId="250AA59E" w14:textId="77777777">
        <w:trPr>
          <w:trHeight w:val="140"/>
          <w:jc w:val="center"/>
        </w:trPr>
        <w:tc>
          <w:tcPr>
            <w:tcW w:w="5220" w:type="dxa"/>
            <w:tcMar/>
          </w:tcPr>
          <w:p w:rsidR="001D20C4" w:rsidP="0079698D" w:rsidRDefault="0079698D" w14:paraId="61C6597E" w14:textId="77777777">
            <w:pPr>
              <w:pStyle w:val="Default"/>
              <w:rPr>
                <w:sz w:val="22"/>
                <w:szCs w:val="22"/>
              </w:rPr>
            </w:pPr>
            <w:r>
              <w:rPr>
                <w:sz w:val="22"/>
                <w:szCs w:val="22"/>
              </w:rPr>
              <w:t>1.7 Discrete Mathematics</w:t>
            </w:r>
          </w:p>
          <w:p w:rsidRPr="001D20C4" w:rsidR="0079698D" w:rsidP="0079698D" w:rsidRDefault="0079698D" w14:paraId="023C6F37" w14:textId="10BE0C1D">
            <w:pPr>
              <w:pStyle w:val="Default"/>
              <w:rPr>
                <w:sz w:val="22"/>
                <w:szCs w:val="22"/>
              </w:rPr>
            </w:pPr>
          </w:p>
        </w:tc>
        <w:tc>
          <w:tcPr>
            <w:tcW w:w="2130" w:type="dxa"/>
            <w:tcMar/>
          </w:tcPr>
          <w:p w:rsidRPr="00B02590" w:rsidR="001D20C4" w:rsidP="00A460CC" w:rsidRDefault="001D20C4" w14:paraId="110FFD37" w14:textId="162611B7">
            <w:pPr>
              <w:keepNext/>
              <w:spacing w:line="240" w:lineRule="auto"/>
              <w:rPr>
                <w:rFonts w:ascii="Palatino Linotype" w:hAnsi="Palatino Linotype" w:eastAsia="Palatino Linotype" w:cs="Palatino Linotype"/>
                <w:b/>
                <w:color w:val="000000" w:themeColor="text1"/>
              </w:rPr>
            </w:pPr>
          </w:p>
        </w:tc>
        <w:tc>
          <w:tcPr>
            <w:tcW w:w="2310" w:type="dxa"/>
            <w:tcMar/>
          </w:tcPr>
          <w:p w:rsidRPr="00B02590" w:rsidR="00BF24A2" w:rsidP="00BF24A2" w:rsidRDefault="00BF24A2" w14:paraId="6B699379" w14:textId="545C366C">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1D20C4" w:rsidTr="0B4AF91B" w14:paraId="737DCD15" w14:textId="77777777">
        <w:trPr>
          <w:trHeight w:val="140"/>
          <w:jc w:val="center"/>
        </w:trPr>
        <w:tc>
          <w:tcPr>
            <w:tcW w:w="5220" w:type="dxa"/>
            <w:tcMar/>
          </w:tcPr>
          <w:p w:rsidR="0063365A" w:rsidP="003C7098" w:rsidRDefault="003C7098" w14:paraId="1B7445E3" w14:textId="77777777">
            <w:pPr>
              <w:pStyle w:val="Default"/>
              <w:rPr>
                <w:sz w:val="22"/>
                <w:szCs w:val="22"/>
                <w:lang w:val="en"/>
              </w:rPr>
            </w:pPr>
            <w:r w:rsidRPr="003C7098">
              <w:rPr>
                <w:sz w:val="22"/>
                <w:szCs w:val="22"/>
                <w:lang w:val="en"/>
              </w:rPr>
              <w:t xml:space="preserve">2. Pedagogical Knowledge – </w:t>
            </w:r>
          </w:p>
          <w:p w:rsidRPr="001D20C4" w:rsidR="001D20C4" w:rsidP="003C7098" w:rsidRDefault="003C7098" w14:paraId="2493E490" w14:textId="6FBF5D89">
            <w:pPr>
              <w:pStyle w:val="Default"/>
              <w:rPr>
                <w:sz w:val="22"/>
                <w:szCs w:val="22"/>
              </w:rPr>
            </w:pPr>
            <w:r w:rsidRPr="003C7098">
              <w:rPr>
                <w:sz w:val="22"/>
                <w:szCs w:val="22"/>
                <w:lang w:val="en"/>
              </w:rPr>
              <w:t>Math Specialist</w:t>
            </w:r>
            <w:r>
              <w:rPr>
                <w:sz w:val="22"/>
                <w:szCs w:val="22"/>
                <w:lang w:val="en"/>
              </w:rPr>
              <w:t>s</w:t>
            </w:r>
            <w:r w:rsidRPr="003C7098">
              <w:rPr>
                <w:sz w:val="22"/>
                <w:szCs w:val="22"/>
                <w:lang w:val="en"/>
              </w:rPr>
              <w:t xml:space="preserve"> further student engagement and proficiency by promoting personalized instruction, critical thinking, equitable learning, student exploration, and authentic connections in the classroom. Math Specialists:</w:t>
            </w:r>
          </w:p>
        </w:tc>
        <w:tc>
          <w:tcPr>
            <w:tcW w:w="2130" w:type="dxa"/>
            <w:tcMar/>
          </w:tcPr>
          <w:p w:rsidRPr="00EC3287" w:rsidR="001D20C4" w:rsidP="00A460CC" w:rsidRDefault="001D20C4" w14:paraId="08CE6F91" w14:textId="41EF1BAE">
            <w:pPr>
              <w:keepNext/>
              <w:spacing w:line="240" w:lineRule="auto"/>
              <w:rPr>
                <w:rFonts w:ascii="Palatino Linotype" w:hAnsi="Palatino Linotype" w:eastAsia="Palatino Linotype" w:cs="Palatino Linotype"/>
                <w:b/>
                <w:color w:val="000000" w:themeColor="text1"/>
              </w:rPr>
            </w:pPr>
          </w:p>
        </w:tc>
        <w:tc>
          <w:tcPr>
            <w:tcW w:w="2310" w:type="dxa"/>
            <w:tcMar/>
          </w:tcPr>
          <w:p w:rsidRPr="00EC3287" w:rsidR="0092502A" w:rsidP="0092502A" w:rsidRDefault="0092502A" w14:paraId="61CDCEAD" w14:textId="654BEFBE">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1D20C4" w:rsidTr="0B4AF91B" w14:paraId="051F82D4" w14:textId="77777777">
        <w:trPr>
          <w:trHeight w:val="140"/>
          <w:jc w:val="center"/>
        </w:trPr>
        <w:tc>
          <w:tcPr>
            <w:tcW w:w="5220" w:type="dxa"/>
            <w:tcMar/>
          </w:tcPr>
          <w:p w:rsidR="001D20C4" w:rsidP="00687B7E" w:rsidRDefault="00687B7E" w14:paraId="0228D306" w14:textId="77777777">
            <w:pPr>
              <w:pStyle w:val="Default"/>
              <w:rPr>
                <w:sz w:val="22"/>
                <w:szCs w:val="22"/>
                <w:lang w:val="en"/>
              </w:rPr>
            </w:pPr>
            <w:r w:rsidRPr="00687B7E">
              <w:rPr>
                <w:sz w:val="22"/>
                <w:szCs w:val="22"/>
                <w:lang w:val="en"/>
              </w:rPr>
              <w:lastRenderedPageBreak/>
              <w:t>2.</w:t>
            </w:r>
            <w:r w:rsidRPr="00687B7E" w:rsidR="00BF2282">
              <w:rPr>
                <w:sz w:val="22"/>
                <w:szCs w:val="22"/>
                <w:lang w:val="en"/>
              </w:rPr>
              <w:t>1. Review</w:t>
            </w:r>
            <w:r w:rsidRPr="00687B7E">
              <w:rPr>
                <w:sz w:val="22"/>
                <w:szCs w:val="22"/>
                <w:lang w:val="en"/>
              </w:rPr>
              <w:t xml:space="preserve"> and implement current research around best practices in mathematics instruction, its structure, the progression of central concepts and skills, prerequisite relationships, and methods of inquiry.</w:t>
            </w:r>
          </w:p>
          <w:p w:rsidRPr="001D20C4" w:rsidR="007471B3" w:rsidP="00687B7E" w:rsidRDefault="007471B3" w14:paraId="42EA601D" w14:textId="18EB2653">
            <w:pPr>
              <w:pStyle w:val="Default"/>
              <w:rPr>
                <w:sz w:val="22"/>
                <w:szCs w:val="22"/>
              </w:rPr>
            </w:pPr>
          </w:p>
        </w:tc>
        <w:tc>
          <w:tcPr>
            <w:tcW w:w="2130" w:type="dxa"/>
            <w:tcMar/>
          </w:tcPr>
          <w:p w:rsidRPr="00EC3287" w:rsidR="001D20C4" w:rsidP="00A460CC" w:rsidRDefault="001D20C4" w14:paraId="52E56223" w14:textId="59851077">
            <w:pPr>
              <w:keepNext/>
              <w:spacing w:line="240" w:lineRule="auto"/>
              <w:rPr>
                <w:rFonts w:ascii="Palatino Linotype" w:hAnsi="Palatino Linotype" w:eastAsia="Palatino Linotype" w:cs="Palatino Linotype"/>
                <w:b/>
                <w:color w:val="000000" w:themeColor="text1"/>
              </w:rPr>
            </w:pPr>
          </w:p>
        </w:tc>
        <w:tc>
          <w:tcPr>
            <w:tcW w:w="2310" w:type="dxa"/>
            <w:tcMar/>
          </w:tcPr>
          <w:p w:rsidRPr="00EC3287" w:rsidR="0092502A" w:rsidP="0092502A" w:rsidRDefault="0092502A" w14:paraId="07547A01" w14:textId="1B77D3FD">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1D20C4" w:rsidTr="0B4AF91B" w14:paraId="11142E64" w14:textId="77777777">
        <w:trPr>
          <w:trHeight w:val="140"/>
          <w:jc w:val="center"/>
        </w:trPr>
        <w:tc>
          <w:tcPr>
            <w:tcW w:w="5220" w:type="dxa"/>
            <w:tcMar/>
          </w:tcPr>
          <w:p w:rsidR="001D20C4" w:rsidP="00BF2282" w:rsidRDefault="00BF2282" w14:paraId="387E693D" w14:textId="77777777">
            <w:pPr>
              <w:pStyle w:val="Default"/>
              <w:rPr>
                <w:sz w:val="22"/>
                <w:szCs w:val="22"/>
                <w:lang w:val="en"/>
              </w:rPr>
            </w:pPr>
            <w:r w:rsidRPr="00BF2282">
              <w:rPr>
                <w:sz w:val="22"/>
                <w:szCs w:val="22"/>
                <w:lang w:val="en"/>
              </w:rPr>
              <w:t>2.</w:t>
            </w:r>
            <w:r w:rsidRPr="00BF2282">
              <w:rPr>
                <w:sz w:val="22"/>
                <w:szCs w:val="22"/>
                <w:lang w:val="en"/>
              </w:rPr>
              <w:t>2. Have</w:t>
            </w:r>
            <w:r w:rsidRPr="00BF2282">
              <w:rPr>
                <w:sz w:val="22"/>
                <w:szCs w:val="22"/>
                <w:lang w:val="en"/>
              </w:rPr>
              <w:t xml:space="preserve"> knowledge of mathematical language, models, and strategies for instruction across mathematical domains and grade levels.</w:t>
            </w:r>
          </w:p>
          <w:p w:rsidRPr="001D20C4" w:rsidR="007471B3" w:rsidP="00BF2282" w:rsidRDefault="007471B3" w14:paraId="6B9FAEAD" w14:textId="024448A1">
            <w:pPr>
              <w:pStyle w:val="Default"/>
              <w:rPr>
                <w:sz w:val="22"/>
                <w:szCs w:val="22"/>
              </w:rPr>
            </w:pPr>
          </w:p>
        </w:tc>
        <w:tc>
          <w:tcPr>
            <w:tcW w:w="2130" w:type="dxa"/>
            <w:tcMar/>
          </w:tcPr>
          <w:p w:rsidRPr="00F64A4E" w:rsidR="001D20C4" w:rsidP="00A460CC" w:rsidRDefault="001D20C4" w14:paraId="6537F28F" w14:textId="54D88682">
            <w:pPr>
              <w:keepNext/>
              <w:spacing w:line="240" w:lineRule="auto"/>
              <w:rPr>
                <w:rFonts w:ascii="Palatino Linotype" w:hAnsi="Palatino Linotype" w:eastAsia="Palatino Linotype" w:cs="Palatino Linotype"/>
                <w:b/>
                <w:color w:val="000000" w:themeColor="text1"/>
              </w:rPr>
            </w:pPr>
          </w:p>
        </w:tc>
        <w:tc>
          <w:tcPr>
            <w:tcW w:w="2310" w:type="dxa"/>
            <w:tcMar/>
          </w:tcPr>
          <w:p w:rsidRPr="00F64A4E" w:rsidR="001D20C4" w:rsidP="00962655" w:rsidRDefault="001D20C4" w14:paraId="6DFB9E20" w14:textId="77777777">
            <w:pPr>
              <w:spacing w:line="240" w:lineRule="auto"/>
              <w:rPr>
                <w:rFonts w:ascii="Palatino Linotype" w:hAnsi="Palatino Linotype" w:eastAsia="Palatino Linotype" w:cs="Palatino Linotype"/>
                <w:b/>
                <w:color w:val="000000" w:themeColor="text1"/>
              </w:rPr>
            </w:pPr>
          </w:p>
        </w:tc>
      </w:tr>
      <w:tr w:rsidRPr="001D20C4" w:rsidR="001D20C4" w:rsidTr="0B4AF91B" w14:paraId="645893EC" w14:textId="77777777">
        <w:trPr>
          <w:trHeight w:val="140"/>
          <w:jc w:val="center"/>
        </w:trPr>
        <w:tc>
          <w:tcPr>
            <w:tcW w:w="5220" w:type="dxa"/>
            <w:tcMar/>
          </w:tcPr>
          <w:p w:rsidR="001D20C4" w:rsidP="0B4AF91B" w:rsidRDefault="007471B3" w14:paraId="30ED86F7" w14:textId="77777777" w14:noSpellErr="1">
            <w:pPr>
              <w:pStyle w:val="Default"/>
              <w:rPr>
                <w:sz w:val="22"/>
                <w:szCs w:val="22"/>
                <w:lang w:val="en-US"/>
              </w:rPr>
            </w:pPr>
            <w:r w:rsidRPr="0B4AF91B" w:rsidR="0B4AF91B">
              <w:rPr>
                <w:sz w:val="22"/>
                <w:szCs w:val="22"/>
                <w:lang w:val="en-US"/>
              </w:rPr>
              <w:t>2.3.</w:t>
            </w:r>
            <w:r w:rsidRPr="0B4AF91B" w:rsidR="0B4AF91B">
              <w:rPr>
                <w:sz w:val="22"/>
                <w:szCs w:val="22"/>
                <w:lang w:val="en-US"/>
              </w:rPr>
              <w:t xml:space="preserve"> </w:t>
            </w:r>
            <w:r w:rsidRPr="0B4AF91B" w:rsidR="0B4AF91B">
              <w:rPr>
                <w:sz w:val="22"/>
                <w:szCs w:val="22"/>
                <w:lang w:val="en-US"/>
              </w:rPr>
              <w:t>Promote and facilitate student and teacher discourse.</w:t>
            </w:r>
          </w:p>
          <w:p w:rsidRPr="001D20C4" w:rsidR="007471B3" w:rsidP="007471B3" w:rsidRDefault="007471B3" w14:paraId="2A8E5878" w14:textId="4AB14D7F">
            <w:pPr>
              <w:pStyle w:val="Default"/>
              <w:rPr>
                <w:sz w:val="22"/>
                <w:szCs w:val="22"/>
              </w:rPr>
            </w:pPr>
          </w:p>
        </w:tc>
        <w:tc>
          <w:tcPr>
            <w:tcW w:w="2130" w:type="dxa"/>
            <w:tcMar/>
          </w:tcPr>
          <w:p w:rsidRPr="00F64A4E" w:rsidR="001D20C4" w:rsidP="00A460CC" w:rsidRDefault="001D20C4" w14:paraId="144A5D23" w14:textId="6BD34238">
            <w:pPr>
              <w:keepNext/>
              <w:spacing w:line="240" w:lineRule="auto"/>
              <w:rPr>
                <w:rFonts w:ascii="Palatino Linotype" w:hAnsi="Palatino Linotype" w:eastAsia="Palatino Linotype" w:cs="Palatino Linotype"/>
                <w:b/>
                <w:color w:val="000000" w:themeColor="text1"/>
              </w:rPr>
            </w:pPr>
          </w:p>
        </w:tc>
        <w:tc>
          <w:tcPr>
            <w:tcW w:w="2310" w:type="dxa"/>
            <w:tcMar/>
          </w:tcPr>
          <w:p w:rsidRPr="00F64A4E" w:rsidR="001D20C4" w:rsidP="00A460CC" w:rsidRDefault="001D20C4" w14:paraId="738610EB" w14:textId="05A7398F">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B057FA" w:rsidTr="0B4AF91B" w14:paraId="357363D9" w14:textId="77777777">
        <w:trPr>
          <w:trHeight w:val="1410"/>
          <w:jc w:val="center"/>
        </w:trPr>
        <w:tc>
          <w:tcPr>
            <w:tcW w:w="5220" w:type="dxa"/>
            <w:tcMar/>
          </w:tcPr>
          <w:p w:rsidR="00B057FA" w:rsidP="234FA174" w:rsidRDefault="00152722" w14:paraId="543F7A2C" w14:textId="77777777">
            <w:pPr>
              <w:rPr>
                <w:rFonts w:ascii="Palatino Linotype" w:hAnsi="Palatino Linotype" w:cs="Palatino Linotype" w:eastAsiaTheme="minorHAnsi"/>
                <w:color w:val="000000"/>
              </w:rPr>
            </w:pPr>
            <w:r w:rsidRPr="00152722">
              <w:rPr>
                <w:rFonts w:ascii="Palatino Linotype" w:hAnsi="Palatino Linotype" w:cs="Palatino Linotype" w:eastAsiaTheme="minorHAnsi"/>
                <w:color w:val="000000"/>
              </w:rPr>
              <w:t>2.</w:t>
            </w:r>
            <w:r w:rsidRPr="00152722">
              <w:rPr>
                <w:rFonts w:ascii="Palatino Linotype" w:hAnsi="Palatino Linotype" w:cs="Palatino Linotype" w:eastAsiaTheme="minorHAnsi"/>
                <w:color w:val="000000"/>
              </w:rPr>
              <w:t>4. Make</w:t>
            </w:r>
            <w:r w:rsidRPr="00152722">
              <w:rPr>
                <w:rFonts w:ascii="Palatino Linotype" w:hAnsi="Palatino Linotype" w:cs="Palatino Linotype" w:eastAsiaTheme="minorHAnsi"/>
                <w:color w:val="000000"/>
              </w:rPr>
              <w:t xml:space="preserve"> meaningful connections to scaffold learning, support engagement, and build student understanding between essential knowledge and skills.</w:t>
            </w:r>
          </w:p>
          <w:p w:rsidRPr="00B057FA" w:rsidR="00152722" w:rsidP="234FA174" w:rsidRDefault="00152722" w14:paraId="0809DE9B" w14:textId="5A93BB83">
            <w:pPr>
              <w:rPr>
                <w:lang w:val="en-US"/>
              </w:rPr>
            </w:pPr>
          </w:p>
        </w:tc>
        <w:tc>
          <w:tcPr>
            <w:tcW w:w="2130" w:type="dxa"/>
            <w:tcMar/>
          </w:tcPr>
          <w:p w:rsidRPr="00D03FAD" w:rsidR="00B057FA" w:rsidP="00A460CC" w:rsidRDefault="00B057FA" w14:paraId="3B7B4B86" w14:textId="07A76E7B">
            <w:pPr>
              <w:keepNext/>
              <w:spacing w:line="240" w:lineRule="auto"/>
              <w:rPr>
                <w:rFonts w:ascii="Palatino Linotype" w:hAnsi="Palatino Linotype" w:eastAsia="Palatino Linotype" w:cs="Palatino Linotype"/>
                <w:b/>
                <w:color w:val="000000" w:themeColor="text1"/>
              </w:rPr>
            </w:pPr>
          </w:p>
        </w:tc>
        <w:tc>
          <w:tcPr>
            <w:tcW w:w="2310" w:type="dxa"/>
            <w:tcMar/>
          </w:tcPr>
          <w:p w:rsidRPr="00D03FAD" w:rsidR="00D03FAD" w:rsidP="00D03FAD" w:rsidRDefault="00D03FAD" w14:paraId="3A0FF5F2" w14:textId="6BE49342">
            <w:pPr>
              <w:pStyle w:val="ListParagraph"/>
              <w:numPr>
                <w:ilvl w:val="0"/>
                <w:numId w:val="3"/>
              </w:numPr>
              <w:spacing w:line="240" w:lineRule="auto"/>
              <w:rPr>
                <w:rFonts w:ascii="Palatino Linotype" w:hAnsi="Palatino Linotype" w:eastAsia="Palatino Linotype" w:cs="Palatino Linotype"/>
                <w:b/>
                <w:color w:val="000000" w:themeColor="text1"/>
              </w:rPr>
            </w:pPr>
          </w:p>
        </w:tc>
      </w:tr>
      <w:tr w:rsidRPr="001D20C4" w:rsidR="00B057FA" w:rsidTr="0B4AF91B" w14:paraId="7EC872D0" w14:textId="77777777">
        <w:trPr>
          <w:trHeight w:val="140"/>
          <w:jc w:val="center"/>
        </w:trPr>
        <w:tc>
          <w:tcPr>
            <w:tcW w:w="5220" w:type="dxa"/>
            <w:tcMar/>
          </w:tcPr>
          <w:p w:rsidR="00B057FA" w:rsidP="0B4AF91B" w:rsidRDefault="00EA2874" w14:paraId="63A7A7DA" w14:textId="77777777" w14:noSpellErr="1">
            <w:pPr>
              <w:pStyle w:val="Default"/>
              <w:rPr>
                <w:sz w:val="22"/>
                <w:szCs w:val="22"/>
                <w:lang w:val="en-US"/>
              </w:rPr>
            </w:pPr>
            <w:r w:rsidRPr="0B4AF91B" w:rsidR="0B4AF91B">
              <w:rPr>
                <w:sz w:val="22"/>
                <w:szCs w:val="22"/>
                <w:lang w:val="en-US"/>
              </w:rPr>
              <w:t>2.5.</w:t>
            </w:r>
            <w:r w:rsidRPr="0B4AF91B" w:rsidR="0B4AF91B">
              <w:rPr>
                <w:sz w:val="22"/>
                <w:szCs w:val="22"/>
                <w:lang w:val="en-US"/>
              </w:rPr>
              <w:t xml:space="preserve"> </w:t>
            </w:r>
            <w:r w:rsidRPr="0B4AF91B" w:rsidR="0B4AF91B">
              <w:rPr>
                <w:sz w:val="22"/>
                <w:szCs w:val="22"/>
                <w:lang w:val="en-US"/>
              </w:rPr>
              <w:t>Promote learning environments where all students have access to a high-quality mathematics curriculum, effective teaching and learning, high expectations, and the support and resources needed to maximize their learning potential.</w:t>
            </w:r>
          </w:p>
          <w:p w:rsidRPr="00B057FA" w:rsidR="00EA2874" w:rsidP="00B057FA" w:rsidRDefault="00EA2874" w14:paraId="2D9C9AAC" w14:textId="6816CC92">
            <w:pPr>
              <w:pStyle w:val="Default"/>
              <w:rPr>
                <w:sz w:val="22"/>
                <w:szCs w:val="22"/>
              </w:rPr>
            </w:pPr>
          </w:p>
        </w:tc>
        <w:tc>
          <w:tcPr>
            <w:tcW w:w="2130" w:type="dxa"/>
            <w:tcMar/>
          </w:tcPr>
          <w:p w:rsidRPr="001D20C4" w:rsidR="00B057FA" w:rsidP="00A460CC" w:rsidRDefault="00B057FA" w14:paraId="2BA226A1" w14:textId="1EDFB820">
            <w:pPr>
              <w:keepNext/>
              <w:spacing w:line="240" w:lineRule="auto"/>
              <w:rPr>
                <w:rFonts w:ascii="Palatino Linotype" w:hAnsi="Palatino Linotype" w:eastAsia="Palatino Linotype" w:cs="Palatino Linotype"/>
                <w:b/>
              </w:rPr>
            </w:pPr>
          </w:p>
        </w:tc>
        <w:tc>
          <w:tcPr>
            <w:tcW w:w="2310" w:type="dxa"/>
            <w:tcMar/>
          </w:tcPr>
          <w:p w:rsidRPr="00D03FAD" w:rsidR="00A460CC" w:rsidP="00D03FAD" w:rsidRDefault="00A460CC" w14:paraId="17AD93B2" w14:textId="0B604448">
            <w:pPr>
              <w:pStyle w:val="ListParagraph"/>
              <w:numPr>
                <w:ilvl w:val="0"/>
                <w:numId w:val="3"/>
              </w:numPr>
              <w:spacing w:line="240" w:lineRule="auto"/>
              <w:rPr>
                <w:rFonts w:ascii="Palatino Linotype" w:hAnsi="Palatino Linotype" w:eastAsia="Palatino Linotype" w:cs="Palatino Linotype"/>
                <w:b/>
              </w:rPr>
            </w:pPr>
          </w:p>
        </w:tc>
      </w:tr>
      <w:tr w:rsidRPr="001D20C4" w:rsidR="00B057FA" w:rsidTr="0B4AF91B" w14:paraId="6CC7E022" w14:textId="77777777">
        <w:trPr>
          <w:trHeight w:val="140"/>
          <w:jc w:val="center"/>
        </w:trPr>
        <w:tc>
          <w:tcPr>
            <w:tcW w:w="5220" w:type="dxa"/>
            <w:tcMar/>
          </w:tcPr>
          <w:p w:rsidR="0063365A" w:rsidP="00B057FA" w:rsidRDefault="007301D1" w14:paraId="1878DCE8" w14:textId="77777777">
            <w:pPr>
              <w:pStyle w:val="Default"/>
              <w:rPr>
                <w:sz w:val="22"/>
                <w:szCs w:val="22"/>
                <w:lang w:val="en"/>
              </w:rPr>
            </w:pPr>
            <w:r w:rsidRPr="007301D1">
              <w:rPr>
                <w:sz w:val="22"/>
                <w:szCs w:val="22"/>
                <w:lang w:val="en"/>
              </w:rPr>
              <w:t xml:space="preserve">3. Intervention Strategies – </w:t>
            </w:r>
          </w:p>
          <w:p w:rsidR="001C65DF" w:rsidP="00B057FA" w:rsidRDefault="007301D1" w14:paraId="55870AD2" w14:textId="3A563696">
            <w:pPr>
              <w:pStyle w:val="Default"/>
              <w:rPr>
                <w:sz w:val="22"/>
                <w:szCs w:val="22"/>
                <w:lang w:val="en"/>
              </w:rPr>
            </w:pPr>
            <w:r w:rsidRPr="007301D1">
              <w:rPr>
                <w:sz w:val="22"/>
                <w:szCs w:val="22"/>
                <w:lang w:val="en"/>
              </w:rPr>
              <w:t xml:space="preserve">Math specialists work with diverse stakeholders to implement supports that promote mathematical thinking for struggling and reluctant learners. Math specialists make curricular decisions and adjustments that consider the learner’s strengths and learning context. </w:t>
            </w:r>
          </w:p>
          <w:p w:rsidR="00B057FA" w:rsidP="00B057FA" w:rsidRDefault="007301D1" w14:paraId="6107C1E5" w14:textId="77777777">
            <w:pPr>
              <w:pStyle w:val="Default"/>
              <w:rPr>
                <w:sz w:val="22"/>
                <w:szCs w:val="22"/>
                <w:lang w:val="en"/>
              </w:rPr>
            </w:pPr>
            <w:r w:rsidRPr="007301D1">
              <w:rPr>
                <w:sz w:val="22"/>
                <w:szCs w:val="22"/>
                <w:lang w:val="en"/>
              </w:rPr>
              <w:t>Math Specialists:</w:t>
            </w:r>
          </w:p>
          <w:p w:rsidRPr="00B057FA" w:rsidR="001C65DF" w:rsidP="00B057FA" w:rsidRDefault="001C65DF" w14:paraId="4FAB280C" w14:textId="7586F58D">
            <w:pPr>
              <w:pStyle w:val="Default"/>
              <w:rPr>
                <w:sz w:val="22"/>
                <w:szCs w:val="22"/>
              </w:rPr>
            </w:pPr>
          </w:p>
        </w:tc>
        <w:tc>
          <w:tcPr>
            <w:tcW w:w="2130" w:type="dxa"/>
            <w:tcMar/>
          </w:tcPr>
          <w:p w:rsidRPr="005B6611" w:rsidR="00B057FA" w:rsidP="00A460CC" w:rsidRDefault="00B057FA" w14:paraId="2DBF0D7D" w14:textId="7B7F4EC5">
            <w:pPr>
              <w:keepNext/>
              <w:spacing w:line="240" w:lineRule="auto"/>
              <w:rPr>
                <w:rFonts w:ascii="Palatino Linotype" w:hAnsi="Palatino Linotype" w:eastAsia="Palatino Linotype" w:cs="Palatino Linotype"/>
                <w:b/>
                <w:color w:val="000000" w:themeColor="text1"/>
              </w:rPr>
            </w:pPr>
          </w:p>
        </w:tc>
        <w:tc>
          <w:tcPr>
            <w:tcW w:w="2310" w:type="dxa"/>
            <w:tcMar/>
          </w:tcPr>
          <w:p w:rsidRPr="005B6611" w:rsidR="00B057FA" w:rsidP="00962655" w:rsidRDefault="00B057FA" w14:paraId="6B62F1B3" w14:textId="77777777">
            <w:pPr>
              <w:spacing w:line="240" w:lineRule="auto"/>
              <w:rPr>
                <w:rFonts w:ascii="Palatino Linotype" w:hAnsi="Palatino Linotype" w:eastAsia="Palatino Linotype" w:cs="Palatino Linotype"/>
                <w:b/>
                <w:color w:val="000000" w:themeColor="text1"/>
              </w:rPr>
            </w:pPr>
          </w:p>
        </w:tc>
      </w:tr>
      <w:tr w:rsidRPr="001D20C4" w:rsidR="00B057FA" w:rsidTr="0B4AF91B" w14:paraId="38BC825D" w14:textId="77777777">
        <w:trPr>
          <w:trHeight w:val="140"/>
          <w:jc w:val="center"/>
        </w:trPr>
        <w:tc>
          <w:tcPr>
            <w:tcW w:w="5220" w:type="dxa"/>
            <w:tcMar/>
          </w:tcPr>
          <w:p w:rsidR="00B057FA" w:rsidP="00B057FA" w:rsidRDefault="00FA2C4D" w14:paraId="2484B4E3" w14:textId="77777777">
            <w:pPr>
              <w:pStyle w:val="Default"/>
              <w:rPr>
                <w:sz w:val="22"/>
                <w:szCs w:val="22"/>
                <w:lang w:val="en"/>
              </w:rPr>
            </w:pPr>
            <w:r w:rsidRPr="00FA2C4D">
              <w:rPr>
                <w:sz w:val="22"/>
                <w:szCs w:val="22"/>
                <w:lang w:val="en"/>
              </w:rPr>
              <w:t>3.1.</w:t>
            </w:r>
            <w:r>
              <w:rPr>
                <w:sz w:val="22"/>
                <w:szCs w:val="22"/>
                <w:lang w:val="en"/>
              </w:rPr>
              <w:t xml:space="preserve"> </w:t>
            </w:r>
            <w:r w:rsidRPr="00FA2C4D">
              <w:rPr>
                <w:sz w:val="22"/>
                <w:szCs w:val="22"/>
                <w:lang w:val="en"/>
              </w:rPr>
              <w:t>Are knowledgeable of how to support students with different learning styles.</w:t>
            </w:r>
          </w:p>
          <w:p w:rsidRPr="00B057FA" w:rsidR="00FA2C4D" w:rsidP="00B057FA" w:rsidRDefault="00FA2C4D" w14:paraId="506E87B5" w14:textId="7566B10A">
            <w:pPr>
              <w:pStyle w:val="Default"/>
              <w:rPr>
                <w:sz w:val="22"/>
                <w:szCs w:val="22"/>
              </w:rPr>
            </w:pPr>
          </w:p>
        </w:tc>
        <w:tc>
          <w:tcPr>
            <w:tcW w:w="2130" w:type="dxa"/>
            <w:tcMar/>
          </w:tcPr>
          <w:p w:rsidRPr="00062A82" w:rsidR="00B057FA" w:rsidP="00A460CC" w:rsidRDefault="00B057FA" w14:paraId="19219836" w14:textId="7EFF411D">
            <w:pPr>
              <w:keepNext/>
              <w:spacing w:line="240" w:lineRule="auto"/>
              <w:rPr>
                <w:rFonts w:ascii="Palatino Linotype" w:hAnsi="Palatino Linotype" w:eastAsia="Palatino Linotype" w:cs="Palatino Linotype"/>
                <w:b/>
                <w:color w:val="000000" w:themeColor="text1"/>
              </w:rPr>
            </w:pPr>
          </w:p>
        </w:tc>
        <w:tc>
          <w:tcPr>
            <w:tcW w:w="2310" w:type="dxa"/>
            <w:tcMar/>
          </w:tcPr>
          <w:p w:rsidRPr="00062A82" w:rsidR="00B057FA" w:rsidP="00962655" w:rsidRDefault="00B057FA" w14:paraId="296FEF7D" w14:textId="46D0FA7F">
            <w:pPr>
              <w:spacing w:line="240" w:lineRule="auto"/>
              <w:rPr>
                <w:rFonts w:ascii="Palatino Linotype" w:hAnsi="Palatino Linotype" w:eastAsia="Palatino Linotype" w:cs="Palatino Linotype"/>
                <w:b/>
                <w:color w:val="000000" w:themeColor="text1"/>
              </w:rPr>
            </w:pPr>
          </w:p>
        </w:tc>
      </w:tr>
      <w:tr w:rsidRPr="001D20C4" w:rsidR="001D20C4" w:rsidTr="0B4AF91B" w14:paraId="268C6F53" w14:textId="77777777">
        <w:trPr>
          <w:trHeight w:val="140"/>
          <w:jc w:val="center"/>
        </w:trPr>
        <w:tc>
          <w:tcPr>
            <w:tcW w:w="5220" w:type="dxa"/>
            <w:tcMar/>
          </w:tcPr>
          <w:p w:rsidR="001D20C4" w:rsidP="00B057FA" w:rsidRDefault="00FA2C4D" w14:paraId="375B152A" w14:textId="4401CDDC">
            <w:pPr>
              <w:pStyle w:val="Default"/>
              <w:rPr>
                <w:sz w:val="22"/>
                <w:szCs w:val="22"/>
              </w:rPr>
            </w:pPr>
            <w:r w:rsidRPr="00FA2C4D">
              <w:rPr>
                <w:sz w:val="22"/>
                <w:szCs w:val="22"/>
                <w:lang w:val="en"/>
              </w:rPr>
              <w:t>3.</w:t>
            </w:r>
            <w:r w:rsidRPr="00FA2C4D">
              <w:rPr>
                <w:sz w:val="22"/>
                <w:szCs w:val="22"/>
                <w:lang w:val="en"/>
              </w:rPr>
              <w:t>2. Collaborate</w:t>
            </w:r>
            <w:r w:rsidRPr="00FA2C4D">
              <w:rPr>
                <w:sz w:val="22"/>
                <w:szCs w:val="22"/>
                <w:lang w:val="en"/>
              </w:rPr>
              <w:t xml:space="preserve"> with classroom teachers, special educators, school administrators, educational support teams, students, families, and additional </w:t>
            </w:r>
            <w:r w:rsidRPr="00FA2C4D">
              <w:rPr>
                <w:sz w:val="22"/>
                <w:szCs w:val="22"/>
                <w:lang w:val="en"/>
              </w:rPr>
              <w:lastRenderedPageBreak/>
              <w:t xml:space="preserve">diverse stakeholders to identify appropriate interventions for students. </w:t>
            </w:r>
          </w:p>
          <w:p w:rsidRPr="00812C01" w:rsidR="00FA2C4D" w:rsidP="00B057FA" w:rsidRDefault="00FA2C4D" w14:paraId="2D0216DC" w14:textId="7C13D85F">
            <w:pPr>
              <w:pStyle w:val="Default"/>
              <w:rPr>
                <w:sz w:val="22"/>
                <w:szCs w:val="22"/>
                <w:highlight w:val="yellow"/>
              </w:rPr>
            </w:pPr>
          </w:p>
        </w:tc>
        <w:tc>
          <w:tcPr>
            <w:tcW w:w="2130" w:type="dxa"/>
            <w:tcMar/>
          </w:tcPr>
          <w:p w:rsidRPr="00062A82" w:rsidR="001D20C4" w:rsidP="00A460CC" w:rsidRDefault="001D20C4" w14:paraId="54CD245A" w14:textId="2DB654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D20C4" w:rsidP="00962655" w:rsidRDefault="001D20C4" w14:paraId="1231BE67" w14:textId="5A26B925">
            <w:pPr>
              <w:spacing w:line="240" w:lineRule="auto"/>
              <w:rPr>
                <w:rFonts w:ascii="Palatino Linotype" w:hAnsi="Palatino Linotype" w:eastAsia="Palatino Linotype" w:cs="Palatino Linotype"/>
                <w:b/>
                <w:highlight w:val="yellow"/>
              </w:rPr>
            </w:pPr>
          </w:p>
        </w:tc>
      </w:tr>
      <w:tr w:rsidRPr="001D20C4" w:rsidR="001C65DF" w:rsidTr="0B4AF91B" w14:paraId="1821312C" w14:textId="77777777">
        <w:trPr>
          <w:trHeight w:val="140"/>
          <w:jc w:val="center"/>
        </w:trPr>
        <w:tc>
          <w:tcPr>
            <w:tcW w:w="5220" w:type="dxa"/>
            <w:tcMar/>
          </w:tcPr>
          <w:p w:rsidR="001C65DF" w:rsidP="00B057FA" w:rsidRDefault="00EB5FCE" w14:paraId="790A430D" w14:textId="77777777">
            <w:pPr>
              <w:pStyle w:val="Default"/>
              <w:rPr>
                <w:sz w:val="22"/>
                <w:szCs w:val="22"/>
                <w:lang w:val="en"/>
              </w:rPr>
            </w:pPr>
            <w:r w:rsidRPr="00EB5FCE">
              <w:rPr>
                <w:sz w:val="22"/>
                <w:szCs w:val="22"/>
                <w:lang w:val="en"/>
              </w:rPr>
              <w:t>3.</w:t>
            </w:r>
            <w:r w:rsidRPr="00EB5FCE">
              <w:rPr>
                <w:sz w:val="22"/>
                <w:szCs w:val="22"/>
                <w:lang w:val="en"/>
              </w:rPr>
              <w:t>3. Support</w:t>
            </w:r>
            <w:r w:rsidRPr="00EB5FCE">
              <w:rPr>
                <w:sz w:val="22"/>
                <w:szCs w:val="22"/>
                <w:lang w:val="en"/>
              </w:rPr>
              <w:t xml:space="preserve"> students and families in accessing practices and resources beyond the classroom.</w:t>
            </w:r>
          </w:p>
          <w:p w:rsidRPr="00FA2C4D" w:rsidR="00EB5FCE" w:rsidP="00B057FA" w:rsidRDefault="00EB5FCE" w14:paraId="1E168FB4" w14:textId="5E8FD4F6">
            <w:pPr>
              <w:pStyle w:val="Default"/>
              <w:rPr>
                <w:sz w:val="22"/>
                <w:szCs w:val="22"/>
                <w:lang w:val="en"/>
              </w:rPr>
            </w:pPr>
          </w:p>
        </w:tc>
        <w:tc>
          <w:tcPr>
            <w:tcW w:w="2130" w:type="dxa"/>
            <w:tcMar/>
          </w:tcPr>
          <w:p w:rsidRPr="00062A82" w:rsidR="001C65DF" w:rsidP="00A460CC" w:rsidRDefault="001C65DF" w14:paraId="6293A8C8"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55BEE9EE" w14:textId="77777777">
            <w:pPr>
              <w:spacing w:line="240" w:lineRule="auto"/>
              <w:rPr>
                <w:rFonts w:ascii="Palatino Linotype" w:hAnsi="Palatino Linotype" w:eastAsia="Palatino Linotype" w:cs="Palatino Linotype"/>
                <w:b/>
                <w:highlight w:val="yellow"/>
              </w:rPr>
            </w:pPr>
          </w:p>
        </w:tc>
      </w:tr>
      <w:tr w:rsidRPr="001D20C4" w:rsidR="001C65DF" w:rsidTr="0B4AF91B" w14:paraId="6B1D574E" w14:textId="77777777">
        <w:trPr>
          <w:trHeight w:val="140"/>
          <w:jc w:val="center"/>
        </w:trPr>
        <w:tc>
          <w:tcPr>
            <w:tcW w:w="5220" w:type="dxa"/>
            <w:tcMar/>
          </w:tcPr>
          <w:p w:rsidR="001C65DF" w:rsidP="0B4AF91B" w:rsidRDefault="00EB5FCE" w14:paraId="119CB230" w14:textId="77777777" w14:noSpellErr="1">
            <w:pPr>
              <w:pStyle w:val="Default"/>
              <w:rPr>
                <w:sz w:val="22"/>
                <w:szCs w:val="22"/>
                <w:lang w:val="en-US"/>
              </w:rPr>
            </w:pPr>
            <w:r w:rsidRPr="0B4AF91B" w:rsidR="0B4AF91B">
              <w:rPr>
                <w:sz w:val="22"/>
                <w:szCs w:val="22"/>
                <w:lang w:val="en-US"/>
              </w:rPr>
              <w:t>3.</w:t>
            </w:r>
            <w:r w:rsidRPr="0B4AF91B" w:rsidR="0B4AF91B">
              <w:rPr>
                <w:sz w:val="22"/>
                <w:szCs w:val="22"/>
                <w:lang w:val="en-US"/>
              </w:rPr>
              <w:t>4. Identify</w:t>
            </w:r>
            <w:r w:rsidRPr="0B4AF91B" w:rsidR="0B4AF91B">
              <w:rPr>
                <w:sz w:val="22"/>
                <w:szCs w:val="22"/>
                <w:lang w:val="en-US"/>
              </w:rPr>
              <w:t xml:space="preserve"> essential ideas, standards, and/or proficiencies to accommodate learner needs and to support classroom teachers with curricular pacing.</w:t>
            </w:r>
          </w:p>
          <w:p w:rsidRPr="00FA2C4D" w:rsidR="00EB5FCE" w:rsidP="00B057FA" w:rsidRDefault="00EB5FCE" w14:paraId="4C681311" w14:textId="0AD93768">
            <w:pPr>
              <w:pStyle w:val="Default"/>
              <w:rPr>
                <w:sz w:val="22"/>
                <w:szCs w:val="22"/>
                <w:lang w:val="en"/>
              </w:rPr>
            </w:pPr>
          </w:p>
        </w:tc>
        <w:tc>
          <w:tcPr>
            <w:tcW w:w="2130" w:type="dxa"/>
            <w:tcMar/>
          </w:tcPr>
          <w:p w:rsidRPr="00062A82" w:rsidR="001C65DF" w:rsidP="00A460CC" w:rsidRDefault="001C65DF" w14:paraId="4FB041DA"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37DB1765" w14:textId="77777777">
            <w:pPr>
              <w:spacing w:line="240" w:lineRule="auto"/>
              <w:rPr>
                <w:rFonts w:ascii="Palatino Linotype" w:hAnsi="Palatino Linotype" w:eastAsia="Palatino Linotype" w:cs="Palatino Linotype"/>
                <w:b/>
                <w:highlight w:val="yellow"/>
              </w:rPr>
            </w:pPr>
          </w:p>
        </w:tc>
      </w:tr>
      <w:tr w:rsidRPr="001D20C4" w:rsidR="001C65DF" w:rsidTr="0B4AF91B" w14:paraId="30E46084" w14:textId="77777777">
        <w:trPr>
          <w:trHeight w:val="140"/>
          <w:jc w:val="center"/>
        </w:trPr>
        <w:tc>
          <w:tcPr>
            <w:tcW w:w="5220" w:type="dxa"/>
            <w:tcMar/>
          </w:tcPr>
          <w:p w:rsidR="001C65DF" w:rsidP="0B4AF91B" w:rsidRDefault="00DD0A57" w14:paraId="12BF6054" w14:textId="77777777" w14:noSpellErr="1">
            <w:pPr>
              <w:pStyle w:val="Default"/>
              <w:rPr>
                <w:sz w:val="22"/>
                <w:szCs w:val="22"/>
                <w:lang w:val="en-US"/>
              </w:rPr>
            </w:pPr>
            <w:r w:rsidRPr="0B4AF91B" w:rsidR="0B4AF91B">
              <w:rPr>
                <w:sz w:val="22"/>
                <w:szCs w:val="22"/>
                <w:lang w:val="en-US"/>
              </w:rPr>
              <w:t>3.5.</w:t>
            </w:r>
            <w:r w:rsidRPr="0B4AF91B" w:rsidR="0B4AF91B">
              <w:rPr>
                <w:sz w:val="22"/>
                <w:szCs w:val="22"/>
                <w:lang w:val="en-US"/>
              </w:rPr>
              <w:t xml:space="preserve"> </w:t>
            </w:r>
            <w:r w:rsidRPr="0B4AF91B" w:rsidR="0B4AF91B">
              <w:rPr>
                <w:sz w:val="22"/>
                <w:szCs w:val="22"/>
                <w:lang w:val="en-US"/>
              </w:rPr>
              <w:t>Support classroom teachers in creating more equitable classroom environments and materials that maximize opportunity for in-classroom differentiation and reduce the need for pull-out interventions during class time.</w:t>
            </w:r>
            <w:r w:rsidRPr="0B4AF91B" w:rsidR="0B4AF91B">
              <w:rPr>
                <w:sz w:val="22"/>
                <w:szCs w:val="22"/>
                <w:lang w:val="en-US"/>
              </w:rPr>
              <w:t xml:space="preserve"> </w:t>
            </w:r>
          </w:p>
          <w:p w:rsidRPr="00FA2C4D" w:rsidR="00DD0A57" w:rsidP="00B057FA" w:rsidRDefault="00DD0A57" w14:paraId="5FAB2E77" w14:textId="2DD1AD54">
            <w:pPr>
              <w:pStyle w:val="Default"/>
              <w:rPr>
                <w:sz w:val="22"/>
                <w:szCs w:val="22"/>
                <w:lang w:val="en"/>
              </w:rPr>
            </w:pPr>
          </w:p>
        </w:tc>
        <w:tc>
          <w:tcPr>
            <w:tcW w:w="2130" w:type="dxa"/>
            <w:tcMar/>
          </w:tcPr>
          <w:p w:rsidRPr="00062A82" w:rsidR="001C65DF" w:rsidP="00A460CC" w:rsidRDefault="001C65DF" w14:paraId="4522710F"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55582085" w14:textId="77777777">
            <w:pPr>
              <w:spacing w:line="240" w:lineRule="auto"/>
              <w:rPr>
                <w:rFonts w:ascii="Palatino Linotype" w:hAnsi="Palatino Linotype" w:eastAsia="Palatino Linotype" w:cs="Palatino Linotype"/>
                <w:b/>
                <w:highlight w:val="yellow"/>
              </w:rPr>
            </w:pPr>
          </w:p>
        </w:tc>
      </w:tr>
      <w:tr w:rsidRPr="001D20C4" w:rsidR="001C65DF" w:rsidTr="0B4AF91B" w14:paraId="259F9FB8" w14:textId="77777777">
        <w:trPr>
          <w:trHeight w:val="140"/>
          <w:jc w:val="center"/>
        </w:trPr>
        <w:tc>
          <w:tcPr>
            <w:tcW w:w="5220" w:type="dxa"/>
            <w:tcMar/>
          </w:tcPr>
          <w:p w:rsidR="001C65DF" w:rsidP="0B4AF91B" w:rsidRDefault="00DD0A57" w14:paraId="488783CF" w14:textId="7EA7BF93" w14:noSpellErr="1">
            <w:pPr>
              <w:pStyle w:val="Default"/>
              <w:rPr>
                <w:sz w:val="22"/>
                <w:szCs w:val="22"/>
                <w:lang w:val="en-US"/>
              </w:rPr>
            </w:pPr>
            <w:r w:rsidRPr="0B4AF91B" w:rsidR="0B4AF91B">
              <w:rPr>
                <w:sz w:val="22"/>
                <w:szCs w:val="22"/>
                <w:lang w:val="en-US"/>
              </w:rPr>
              <w:t>3.</w:t>
            </w:r>
            <w:r w:rsidRPr="0B4AF91B" w:rsidR="0B4AF91B">
              <w:rPr>
                <w:sz w:val="22"/>
                <w:szCs w:val="22"/>
                <w:lang w:val="en-US"/>
              </w:rPr>
              <w:t>6. Reflect</w:t>
            </w:r>
            <w:r w:rsidRPr="0B4AF91B" w:rsidR="0B4AF91B">
              <w:rPr>
                <w:sz w:val="22"/>
                <w:szCs w:val="22"/>
                <w:lang w:val="en-US"/>
              </w:rPr>
              <w:t xml:space="preserve"> on personal bias to ensure appropriate accommodations for students from marginalized populations.</w:t>
            </w:r>
          </w:p>
          <w:p w:rsidRPr="00FA2C4D" w:rsidR="00DD0A57" w:rsidP="00B057FA" w:rsidRDefault="00DD0A57" w14:paraId="44576565" w14:textId="718C244B">
            <w:pPr>
              <w:pStyle w:val="Default"/>
              <w:rPr>
                <w:sz w:val="22"/>
                <w:szCs w:val="22"/>
                <w:lang w:val="en"/>
              </w:rPr>
            </w:pPr>
          </w:p>
        </w:tc>
        <w:tc>
          <w:tcPr>
            <w:tcW w:w="2130" w:type="dxa"/>
            <w:tcMar/>
          </w:tcPr>
          <w:p w:rsidRPr="00062A82" w:rsidR="001C65DF" w:rsidP="00A460CC" w:rsidRDefault="001C65DF" w14:paraId="67D9AB6E"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24928FB4" w14:textId="77777777">
            <w:pPr>
              <w:spacing w:line="240" w:lineRule="auto"/>
              <w:rPr>
                <w:rFonts w:ascii="Palatino Linotype" w:hAnsi="Palatino Linotype" w:eastAsia="Palatino Linotype" w:cs="Palatino Linotype"/>
                <w:b/>
                <w:highlight w:val="yellow"/>
              </w:rPr>
            </w:pPr>
          </w:p>
        </w:tc>
      </w:tr>
      <w:tr w:rsidRPr="001D20C4" w:rsidR="001C65DF" w:rsidTr="0B4AF91B" w14:paraId="3E795626" w14:textId="77777777">
        <w:trPr>
          <w:trHeight w:val="140"/>
          <w:jc w:val="center"/>
        </w:trPr>
        <w:tc>
          <w:tcPr>
            <w:tcW w:w="5220" w:type="dxa"/>
            <w:tcMar/>
          </w:tcPr>
          <w:p w:rsidR="0063365A" w:rsidP="00B057FA" w:rsidRDefault="003F3267" w14:paraId="6726108F" w14:textId="77777777">
            <w:pPr>
              <w:pStyle w:val="Default"/>
              <w:rPr>
                <w:sz w:val="22"/>
                <w:szCs w:val="22"/>
                <w:lang w:val="en"/>
              </w:rPr>
            </w:pPr>
            <w:r w:rsidRPr="003F3267">
              <w:rPr>
                <w:sz w:val="22"/>
                <w:szCs w:val="22"/>
                <w:lang w:val="en"/>
              </w:rPr>
              <w:t xml:space="preserve">4. Curricular Development – </w:t>
            </w:r>
          </w:p>
          <w:p w:rsidR="001C65DF" w:rsidP="0B4AF91B" w:rsidRDefault="003F3267" w14:paraId="4F285FCE" w14:textId="45479B85" w14:noSpellErr="1">
            <w:pPr>
              <w:pStyle w:val="Default"/>
              <w:rPr>
                <w:sz w:val="22"/>
                <w:szCs w:val="22"/>
                <w:lang w:val="en-US"/>
              </w:rPr>
            </w:pPr>
            <w:r w:rsidRPr="0B4AF91B" w:rsidR="0B4AF91B">
              <w:rPr>
                <w:sz w:val="22"/>
                <w:szCs w:val="22"/>
                <w:lang w:val="en-US"/>
              </w:rPr>
              <w:t>Math Specialists understand the application of mathematics curriculum in equitable classroom environments and engage in discourse with colleagues and stakeholders to make decisions that improve classroom, schoolwide, and/or districtwide curriculum. Math Specialists:</w:t>
            </w:r>
          </w:p>
          <w:p w:rsidRPr="00FA2C4D" w:rsidR="003F3267" w:rsidP="00B057FA" w:rsidRDefault="003F3267" w14:paraId="77BF1993" w14:textId="2A65C961">
            <w:pPr>
              <w:pStyle w:val="Default"/>
              <w:rPr>
                <w:sz w:val="22"/>
                <w:szCs w:val="22"/>
                <w:lang w:val="en"/>
              </w:rPr>
            </w:pPr>
          </w:p>
        </w:tc>
        <w:tc>
          <w:tcPr>
            <w:tcW w:w="2130" w:type="dxa"/>
            <w:tcMar/>
          </w:tcPr>
          <w:p w:rsidRPr="00062A82" w:rsidR="001C65DF" w:rsidP="00A460CC" w:rsidRDefault="001C65DF" w14:paraId="79452465"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6C922A9A" w14:textId="77777777">
            <w:pPr>
              <w:spacing w:line="240" w:lineRule="auto"/>
              <w:rPr>
                <w:rFonts w:ascii="Palatino Linotype" w:hAnsi="Palatino Linotype" w:eastAsia="Palatino Linotype" w:cs="Palatino Linotype"/>
                <w:b/>
                <w:highlight w:val="yellow"/>
              </w:rPr>
            </w:pPr>
          </w:p>
        </w:tc>
      </w:tr>
      <w:tr w:rsidRPr="001D20C4" w:rsidR="001C65DF" w:rsidTr="0B4AF91B" w14:paraId="5E193DFF" w14:textId="77777777">
        <w:trPr>
          <w:trHeight w:val="140"/>
          <w:jc w:val="center"/>
        </w:trPr>
        <w:tc>
          <w:tcPr>
            <w:tcW w:w="5220" w:type="dxa"/>
            <w:tcMar/>
          </w:tcPr>
          <w:p w:rsidR="001C65DF" w:rsidP="00B057FA" w:rsidRDefault="003F3267" w14:paraId="1D2E79F4" w14:textId="77777777">
            <w:pPr>
              <w:pStyle w:val="Default"/>
              <w:rPr>
                <w:sz w:val="22"/>
                <w:szCs w:val="22"/>
                <w:lang w:val="en"/>
              </w:rPr>
            </w:pPr>
            <w:r w:rsidRPr="003F3267">
              <w:rPr>
                <w:sz w:val="22"/>
                <w:szCs w:val="22"/>
                <w:lang w:val="en"/>
              </w:rPr>
              <w:t>4.1.</w:t>
            </w:r>
            <w:r>
              <w:rPr>
                <w:sz w:val="22"/>
                <w:szCs w:val="22"/>
                <w:lang w:val="en"/>
              </w:rPr>
              <w:t xml:space="preserve"> </w:t>
            </w:r>
            <w:r w:rsidRPr="003F3267">
              <w:rPr>
                <w:sz w:val="22"/>
                <w:szCs w:val="22"/>
                <w:lang w:val="en"/>
              </w:rPr>
              <w:t>Have a working knowledge of mathematics as a curriculum and its vertical progression from prek-12.</w:t>
            </w:r>
          </w:p>
          <w:p w:rsidRPr="00FA2C4D" w:rsidR="003F3267" w:rsidP="00B057FA" w:rsidRDefault="003F3267" w14:paraId="4FEAC18D" w14:textId="0ED0936F">
            <w:pPr>
              <w:pStyle w:val="Default"/>
              <w:rPr>
                <w:sz w:val="22"/>
                <w:szCs w:val="22"/>
                <w:lang w:val="en"/>
              </w:rPr>
            </w:pPr>
          </w:p>
        </w:tc>
        <w:tc>
          <w:tcPr>
            <w:tcW w:w="2130" w:type="dxa"/>
            <w:tcMar/>
          </w:tcPr>
          <w:p w:rsidRPr="00062A82" w:rsidR="001C65DF" w:rsidP="00A460CC" w:rsidRDefault="001C65DF" w14:paraId="7C101E94"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1172043C" w14:textId="77777777">
            <w:pPr>
              <w:spacing w:line="240" w:lineRule="auto"/>
              <w:rPr>
                <w:rFonts w:ascii="Palatino Linotype" w:hAnsi="Palatino Linotype" w:eastAsia="Palatino Linotype" w:cs="Palatino Linotype"/>
                <w:b/>
                <w:highlight w:val="yellow"/>
              </w:rPr>
            </w:pPr>
          </w:p>
        </w:tc>
      </w:tr>
      <w:tr w:rsidRPr="001D20C4" w:rsidR="001C65DF" w:rsidTr="0B4AF91B" w14:paraId="77F0869D" w14:textId="77777777">
        <w:trPr>
          <w:trHeight w:val="140"/>
          <w:jc w:val="center"/>
        </w:trPr>
        <w:tc>
          <w:tcPr>
            <w:tcW w:w="5220" w:type="dxa"/>
            <w:tcMar/>
          </w:tcPr>
          <w:p w:rsidR="001C65DF" w:rsidP="00B057FA" w:rsidRDefault="007572C6" w14:paraId="298684E7" w14:textId="77777777">
            <w:pPr>
              <w:pStyle w:val="Default"/>
              <w:rPr>
                <w:sz w:val="22"/>
                <w:szCs w:val="22"/>
                <w:lang w:val="en"/>
              </w:rPr>
            </w:pPr>
            <w:r w:rsidRPr="007572C6">
              <w:rPr>
                <w:sz w:val="22"/>
                <w:szCs w:val="22"/>
                <w:lang w:val="en"/>
              </w:rPr>
              <w:t>4.2.</w:t>
            </w:r>
            <w:r>
              <w:rPr>
                <w:sz w:val="22"/>
                <w:szCs w:val="22"/>
                <w:lang w:val="en"/>
              </w:rPr>
              <w:t xml:space="preserve"> </w:t>
            </w:r>
            <w:r w:rsidRPr="007572C6">
              <w:rPr>
                <w:sz w:val="22"/>
                <w:szCs w:val="22"/>
                <w:lang w:val="en"/>
              </w:rPr>
              <w:t>Work with colleagues and specialists in researching and developing relevant curriculum to meet the needs of individual students.</w:t>
            </w:r>
          </w:p>
          <w:p w:rsidRPr="00FA2C4D" w:rsidR="007572C6" w:rsidP="00B057FA" w:rsidRDefault="007572C6" w14:paraId="096C556D" w14:textId="1517C616">
            <w:pPr>
              <w:pStyle w:val="Default"/>
              <w:rPr>
                <w:sz w:val="22"/>
                <w:szCs w:val="22"/>
                <w:lang w:val="en"/>
              </w:rPr>
            </w:pPr>
          </w:p>
        </w:tc>
        <w:tc>
          <w:tcPr>
            <w:tcW w:w="2130" w:type="dxa"/>
            <w:tcMar/>
          </w:tcPr>
          <w:p w:rsidRPr="00062A82" w:rsidR="001C65DF" w:rsidP="00A460CC" w:rsidRDefault="001C65DF" w14:paraId="1C15FEC2"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12DB08E2" w14:textId="77777777">
            <w:pPr>
              <w:spacing w:line="240" w:lineRule="auto"/>
              <w:rPr>
                <w:rFonts w:ascii="Palatino Linotype" w:hAnsi="Palatino Linotype" w:eastAsia="Palatino Linotype" w:cs="Palatino Linotype"/>
                <w:b/>
                <w:highlight w:val="yellow"/>
              </w:rPr>
            </w:pPr>
          </w:p>
        </w:tc>
      </w:tr>
      <w:tr w:rsidRPr="001D20C4" w:rsidR="001C65DF" w:rsidTr="0B4AF91B" w14:paraId="2A647EBC" w14:textId="77777777">
        <w:trPr>
          <w:trHeight w:val="140"/>
          <w:jc w:val="center"/>
        </w:trPr>
        <w:tc>
          <w:tcPr>
            <w:tcW w:w="5220" w:type="dxa"/>
            <w:tcMar/>
          </w:tcPr>
          <w:p w:rsidR="001C65DF" w:rsidP="0B4AF91B" w:rsidRDefault="007572C6" w14:paraId="79728226" w14:textId="77777777" w14:noSpellErr="1">
            <w:pPr>
              <w:pStyle w:val="Default"/>
              <w:rPr>
                <w:sz w:val="22"/>
                <w:szCs w:val="22"/>
                <w:lang w:val="en-US"/>
              </w:rPr>
            </w:pPr>
            <w:r w:rsidRPr="0B4AF91B" w:rsidR="0B4AF91B">
              <w:rPr>
                <w:sz w:val="22"/>
                <w:szCs w:val="22"/>
                <w:lang w:val="en-US"/>
              </w:rPr>
              <w:t>4.3.</w:t>
            </w:r>
            <w:r w:rsidRPr="0B4AF91B" w:rsidR="0B4AF91B">
              <w:rPr>
                <w:sz w:val="22"/>
                <w:szCs w:val="22"/>
                <w:lang w:val="en-US"/>
              </w:rPr>
              <w:t xml:space="preserve"> </w:t>
            </w:r>
            <w:r w:rsidRPr="0B4AF91B" w:rsidR="0B4AF91B">
              <w:rPr>
                <w:sz w:val="22"/>
                <w:szCs w:val="22"/>
                <w:lang w:val="en-US"/>
              </w:rPr>
              <w:t>Find accessible and equitable resources that meet the needs of all learners.</w:t>
            </w:r>
          </w:p>
          <w:p w:rsidRPr="00FA2C4D" w:rsidR="005B162C" w:rsidP="00B057FA" w:rsidRDefault="005B162C" w14:paraId="61691DEF" w14:textId="56A73AD8">
            <w:pPr>
              <w:pStyle w:val="Default"/>
              <w:rPr>
                <w:sz w:val="22"/>
                <w:szCs w:val="22"/>
                <w:lang w:val="en"/>
              </w:rPr>
            </w:pPr>
          </w:p>
        </w:tc>
        <w:tc>
          <w:tcPr>
            <w:tcW w:w="2130" w:type="dxa"/>
            <w:tcMar/>
          </w:tcPr>
          <w:p w:rsidRPr="00062A82" w:rsidR="001C65DF" w:rsidP="00A460CC" w:rsidRDefault="001C65DF" w14:paraId="18AE3F0E" w14:textId="77777777">
            <w:pPr>
              <w:keepNext/>
              <w:spacing w:line="240" w:lineRule="auto"/>
              <w:rPr>
                <w:rFonts w:ascii="Palatino Linotype" w:hAnsi="Palatino Linotype" w:eastAsia="Palatino Linotype" w:cs="Palatino Linotype"/>
                <w:b/>
                <w:color w:val="70AD47" w:themeColor="accent6"/>
              </w:rPr>
            </w:pPr>
          </w:p>
        </w:tc>
        <w:tc>
          <w:tcPr>
            <w:tcW w:w="2310" w:type="dxa"/>
            <w:tcMar/>
          </w:tcPr>
          <w:p w:rsidRPr="00812C01" w:rsidR="001C65DF" w:rsidP="00962655" w:rsidRDefault="001C65DF" w14:paraId="6FB5BEC5" w14:textId="77777777">
            <w:pPr>
              <w:spacing w:line="240" w:lineRule="auto"/>
              <w:rPr>
                <w:rFonts w:ascii="Palatino Linotype" w:hAnsi="Palatino Linotype" w:eastAsia="Palatino Linotype" w:cs="Palatino Linotype"/>
                <w:b/>
                <w:highlight w:val="yellow"/>
              </w:rPr>
            </w:pPr>
          </w:p>
        </w:tc>
      </w:tr>
      <w:tr w:rsidRPr="001D20C4" w:rsidR="001D20C4" w:rsidTr="0B4AF91B" w14:paraId="19C6CEEC" w14:textId="77777777">
        <w:trPr>
          <w:trHeight w:val="140"/>
          <w:jc w:val="center"/>
        </w:trPr>
        <w:tc>
          <w:tcPr>
            <w:tcW w:w="5220" w:type="dxa"/>
            <w:tcMar/>
          </w:tcPr>
          <w:p w:rsidR="001D20C4" w:rsidP="00B057FA" w:rsidRDefault="005B162C" w14:paraId="630865FE" w14:textId="543DBD6E">
            <w:pPr>
              <w:pStyle w:val="Default"/>
              <w:rPr>
                <w:sz w:val="22"/>
                <w:szCs w:val="22"/>
                <w:lang w:val="en"/>
              </w:rPr>
            </w:pPr>
            <w:r w:rsidRPr="005B162C">
              <w:rPr>
                <w:sz w:val="22"/>
                <w:szCs w:val="22"/>
                <w:lang w:val="en"/>
              </w:rPr>
              <w:lastRenderedPageBreak/>
              <w:t>4.4.</w:t>
            </w:r>
            <w:r>
              <w:rPr>
                <w:sz w:val="22"/>
                <w:szCs w:val="22"/>
                <w:lang w:val="en"/>
              </w:rPr>
              <w:t xml:space="preserve"> </w:t>
            </w:r>
            <w:r w:rsidRPr="005B162C">
              <w:rPr>
                <w:sz w:val="22"/>
                <w:szCs w:val="22"/>
                <w:lang w:val="en"/>
              </w:rPr>
              <w:t>Evaluate mathematics programs using district curriculum, Vermont state content standards, and current research.</w:t>
            </w:r>
          </w:p>
          <w:p w:rsidRPr="001D20C4" w:rsidR="005B162C" w:rsidP="00B057FA" w:rsidRDefault="005B162C" w14:paraId="1B6F485F" w14:textId="0267533D">
            <w:pPr>
              <w:pStyle w:val="Default"/>
              <w:rPr>
                <w:sz w:val="22"/>
                <w:szCs w:val="22"/>
              </w:rPr>
            </w:pPr>
          </w:p>
        </w:tc>
        <w:tc>
          <w:tcPr>
            <w:tcW w:w="2130" w:type="dxa"/>
            <w:tcMar/>
          </w:tcPr>
          <w:p w:rsidRPr="001D20C4" w:rsidR="001D20C4" w:rsidP="00A460CC" w:rsidRDefault="001D20C4" w14:paraId="7196D064" w14:textId="27C31953">
            <w:pPr>
              <w:keepNext/>
              <w:spacing w:line="240" w:lineRule="auto"/>
              <w:rPr>
                <w:rFonts w:ascii="Palatino Linotype" w:hAnsi="Palatino Linotype" w:eastAsia="Palatino Linotype" w:cs="Palatino Linotype"/>
                <w:b/>
              </w:rPr>
            </w:pPr>
          </w:p>
        </w:tc>
        <w:tc>
          <w:tcPr>
            <w:tcW w:w="2310" w:type="dxa"/>
            <w:tcMar/>
          </w:tcPr>
          <w:p w:rsidRPr="001D20C4" w:rsidR="001D20C4" w:rsidP="00962655" w:rsidRDefault="001D20C4" w14:paraId="34FF1C98" w14:textId="77777777">
            <w:pPr>
              <w:spacing w:line="240" w:lineRule="auto"/>
              <w:rPr>
                <w:rFonts w:ascii="Palatino Linotype" w:hAnsi="Palatino Linotype" w:eastAsia="Palatino Linotype" w:cs="Palatino Linotype"/>
                <w:b/>
              </w:rPr>
            </w:pPr>
          </w:p>
        </w:tc>
      </w:tr>
      <w:tr w:rsidRPr="001D20C4" w:rsidR="001D20C4" w:rsidTr="0B4AF91B" w14:paraId="05FE8C0A" w14:textId="77777777">
        <w:trPr>
          <w:trHeight w:val="140"/>
          <w:jc w:val="center"/>
        </w:trPr>
        <w:tc>
          <w:tcPr>
            <w:tcW w:w="5220" w:type="dxa"/>
            <w:tcMar/>
          </w:tcPr>
          <w:p w:rsidR="0063365A" w:rsidP="001D20C4" w:rsidRDefault="00FF188F" w14:paraId="29CD5521" w14:textId="77777777">
            <w:pPr>
              <w:autoSpaceDE w:val="0"/>
              <w:autoSpaceDN w:val="0"/>
              <w:adjustRightInd w:val="0"/>
              <w:spacing w:line="240" w:lineRule="auto"/>
              <w:rPr>
                <w:rFonts w:ascii="Palatino Linotype" w:hAnsi="Palatino Linotype" w:cs="Palatino Linotype" w:eastAsiaTheme="minorHAnsi"/>
                <w:color w:val="000000"/>
              </w:rPr>
            </w:pPr>
            <w:r w:rsidRPr="00FF188F">
              <w:rPr>
                <w:rFonts w:ascii="Palatino Linotype" w:hAnsi="Palatino Linotype" w:cs="Palatino Linotype" w:eastAsiaTheme="minorHAnsi"/>
                <w:color w:val="000000"/>
              </w:rPr>
              <w:t xml:space="preserve">5. Assessment and Data – </w:t>
            </w:r>
          </w:p>
          <w:p w:rsidR="001D20C4" w:rsidP="001D20C4" w:rsidRDefault="00FF188F" w14:paraId="7A59882E" w14:textId="60B20DEE">
            <w:pPr>
              <w:autoSpaceDE w:val="0"/>
              <w:autoSpaceDN w:val="0"/>
              <w:adjustRightInd w:val="0"/>
              <w:spacing w:line="240" w:lineRule="auto"/>
              <w:rPr>
                <w:rFonts w:ascii="Palatino Linotype" w:hAnsi="Palatino Linotype" w:cs="Palatino Linotype" w:eastAsiaTheme="minorHAnsi"/>
                <w:color w:val="000000"/>
              </w:rPr>
            </w:pPr>
            <w:r w:rsidRPr="00FF188F">
              <w:rPr>
                <w:rFonts w:ascii="Palatino Linotype" w:hAnsi="Palatino Linotype" w:cs="Palatino Linotype" w:eastAsiaTheme="minorHAnsi"/>
                <w:color w:val="000000"/>
              </w:rPr>
              <w:t>Math Specialists use current research in student assessment and data design to select appropriate formative and summative assessment methods. Math Specialists share their knowledge and collaborate with colleagues to make data informed classroom-, school-, and district-based decisions in the best interest of all students. Math Specialists:</w:t>
            </w:r>
          </w:p>
          <w:p w:rsidRPr="001D20C4" w:rsidR="00FF188F" w:rsidP="001D20C4" w:rsidRDefault="00FF188F" w14:paraId="725AD2CA" w14:textId="671FE6E1">
            <w:pPr>
              <w:autoSpaceDE w:val="0"/>
              <w:autoSpaceDN w:val="0"/>
              <w:adjustRightInd w:val="0"/>
              <w:spacing w:line="240" w:lineRule="auto"/>
              <w:rPr>
                <w:rFonts w:ascii="Palatino Linotype" w:hAnsi="Palatino Linotype" w:cs="Palatino Linotype" w:eastAsiaTheme="minorHAnsi"/>
                <w:color w:val="000000"/>
                <w:lang w:val="en-US"/>
              </w:rPr>
            </w:pPr>
          </w:p>
        </w:tc>
        <w:tc>
          <w:tcPr>
            <w:tcW w:w="2130" w:type="dxa"/>
            <w:tcMar/>
          </w:tcPr>
          <w:p w:rsidRPr="00B716E3" w:rsidR="001D20C4" w:rsidP="00A460CC" w:rsidRDefault="001D20C4" w14:paraId="6BD18F9B" w14:textId="5BCFAB5D">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1D20C4" w:rsidP="001D20C4" w:rsidRDefault="001D20C4" w14:paraId="238601FE" w14:textId="1A99A692">
            <w:pPr>
              <w:spacing w:line="240" w:lineRule="auto"/>
              <w:rPr>
                <w:rFonts w:ascii="Palatino Linotype" w:hAnsi="Palatino Linotype" w:eastAsia="Palatino Linotype" w:cs="Palatino Linotype"/>
                <w:b/>
                <w:color w:val="000000" w:themeColor="text1"/>
              </w:rPr>
            </w:pPr>
          </w:p>
        </w:tc>
      </w:tr>
      <w:tr w:rsidRPr="001D20C4" w:rsidR="00BE1510" w:rsidTr="0B4AF91B" w14:paraId="494C16CD" w14:textId="77777777">
        <w:trPr>
          <w:trHeight w:val="140"/>
          <w:jc w:val="center"/>
        </w:trPr>
        <w:tc>
          <w:tcPr>
            <w:tcW w:w="5220" w:type="dxa"/>
            <w:tcMar/>
          </w:tcPr>
          <w:p w:rsidR="00BE1510" w:rsidP="001D20C4" w:rsidRDefault="00F54CF1" w14:paraId="44C4DDD4" w14:textId="77777777">
            <w:pPr>
              <w:autoSpaceDE w:val="0"/>
              <w:autoSpaceDN w:val="0"/>
              <w:adjustRightInd w:val="0"/>
              <w:spacing w:line="240" w:lineRule="auto"/>
              <w:rPr>
                <w:rFonts w:ascii="Palatino Linotype" w:hAnsi="Palatino Linotype" w:cs="Palatino Linotype" w:eastAsiaTheme="minorHAnsi"/>
                <w:color w:val="000000"/>
              </w:rPr>
            </w:pPr>
            <w:r w:rsidRPr="00F54CF1">
              <w:rPr>
                <w:rFonts w:ascii="Palatino Linotype" w:hAnsi="Palatino Linotype" w:cs="Palatino Linotype" w:eastAsiaTheme="minorHAnsi"/>
                <w:color w:val="000000"/>
              </w:rPr>
              <w:t>5.1.</w:t>
            </w:r>
            <w:r>
              <w:rPr>
                <w:rFonts w:ascii="Palatino Linotype" w:hAnsi="Palatino Linotype" w:cs="Palatino Linotype" w:eastAsiaTheme="minorHAnsi"/>
                <w:color w:val="000000"/>
              </w:rPr>
              <w:t xml:space="preserve"> </w:t>
            </w:r>
            <w:r w:rsidRPr="00F54CF1">
              <w:rPr>
                <w:rFonts w:ascii="Palatino Linotype" w:hAnsi="Palatino Linotype" w:cs="Palatino Linotype" w:eastAsiaTheme="minorHAnsi"/>
                <w:color w:val="000000"/>
              </w:rPr>
              <w:t>Support classroom teachers, administrators, students, families, and stakeholders in interpreting results of special education, state, district, and classroom assessments to develop data informed action steps for individual students and education systems.</w:t>
            </w:r>
          </w:p>
          <w:p w:rsidRPr="00FF188F" w:rsidR="00F54CF1" w:rsidP="001D20C4" w:rsidRDefault="00F54CF1" w14:paraId="70DCCC0E" w14:textId="780E6BE6">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618D1BF6"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7D769557"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5C5BEB2C" w14:textId="77777777">
        <w:trPr>
          <w:trHeight w:val="140"/>
          <w:jc w:val="center"/>
        </w:trPr>
        <w:tc>
          <w:tcPr>
            <w:tcW w:w="5220" w:type="dxa"/>
            <w:tcMar/>
          </w:tcPr>
          <w:p w:rsidR="00BE1510" w:rsidP="001D20C4" w:rsidRDefault="009602CA" w14:paraId="6BA4838A" w14:textId="77777777">
            <w:pPr>
              <w:autoSpaceDE w:val="0"/>
              <w:autoSpaceDN w:val="0"/>
              <w:adjustRightInd w:val="0"/>
              <w:spacing w:line="240" w:lineRule="auto"/>
              <w:rPr>
                <w:rFonts w:ascii="Palatino Linotype" w:hAnsi="Palatino Linotype" w:cs="Palatino Linotype" w:eastAsiaTheme="minorHAnsi"/>
                <w:color w:val="000000"/>
              </w:rPr>
            </w:pPr>
            <w:r w:rsidRPr="009602CA">
              <w:rPr>
                <w:rFonts w:ascii="Palatino Linotype" w:hAnsi="Palatino Linotype" w:cs="Palatino Linotype" w:eastAsiaTheme="minorHAnsi"/>
                <w:color w:val="000000"/>
              </w:rPr>
              <w:t>5.2.</w:t>
            </w:r>
            <w:r>
              <w:rPr>
                <w:rFonts w:ascii="Palatino Linotype" w:hAnsi="Palatino Linotype" w:cs="Palatino Linotype" w:eastAsiaTheme="minorHAnsi"/>
                <w:color w:val="000000"/>
              </w:rPr>
              <w:t xml:space="preserve"> </w:t>
            </w:r>
            <w:r w:rsidRPr="009602CA">
              <w:rPr>
                <w:rFonts w:ascii="Palatino Linotype" w:hAnsi="Palatino Linotype" w:cs="Palatino Linotype" w:eastAsiaTheme="minorHAnsi"/>
                <w:color w:val="000000"/>
              </w:rPr>
              <w:t>Understand how to use formative, summative, and diagnostic assessments, and communicate the differences between them.</w:t>
            </w:r>
          </w:p>
          <w:p w:rsidRPr="00FF188F" w:rsidR="000860C8" w:rsidP="001D20C4" w:rsidRDefault="000860C8" w14:paraId="07139B68" w14:textId="0EFB5E1D">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163D8B99"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52212381"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5523AC96" w14:textId="77777777">
        <w:trPr>
          <w:trHeight w:val="140"/>
          <w:jc w:val="center"/>
        </w:trPr>
        <w:tc>
          <w:tcPr>
            <w:tcW w:w="5220" w:type="dxa"/>
            <w:tcMar/>
          </w:tcPr>
          <w:p w:rsidR="00BE1510" w:rsidP="001D20C4" w:rsidRDefault="000860C8" w14:paraId="3C84FEEB" w14:textId="5534509E">
            <w:pPr>
              <w:autoSpaceDE w:val="0"/>
              <w:autoSpaceDN w:val="0"/>
              <w:adjustRightInd w:val="0"/>
              <w:spacing w:line="240" w:lineRule="auto"/>
              <w:rPr>
                <w:rFonts w:ascii="Palatino Linotype" w:hAnsi="Palatino Linotype" w:cs="Palatino Linotype" w:eastAsiaTheme="minorHAnsi"/>
                <w:color w:val="000000"/>
              </w:rPr>
            </w:pPr>
            <w:r w:rsidRPr="000860C8">
              <w:rPr>
                <w:rFonts w:ascii="Palatino Linotype" w:hAnsi="Palatino Linotype" w:cs="Palatino Linotype" w:eastAsiaTheme="minorHAnsi"/>
                <w:color w:val="000000"/>
              </w:rPr>
              <w:t>5.3.</w:t>
            </w:r>
            <w:r>
              <w:rPr>
                <w:rFonts w:ascii="Palatino Linotype" w:hAnsi="Palatino Linotype" w:cs="Palatino Linotype" w:eastAsiaTheme="minorHAnsi"/>
                <w:color w:val="000000"/>
              </w:rPr>
              <w:t xml:space="preserve"> </w:t>
            </w:r>
            <w:r w:rsidRPr="000860C8">
              <w:rPr>
                <w:rFonts w:ascii="Palatino Linotype" w:hAnsi="Palatino Linotype" w:cs="Palatino Linotype" w:eastAsiaTheme="minorHAnsi"/>
                <w:color w:val="000000"/>
              </w:rPr>
              <w:t>Utilize asset-based assessment strategies to meet the needs of all learners.</w:t>
            </w:r>
          </w:p>
          <w:p w:rsidRPr="00FF188F" w:rsidR="000860C8" w:rsidP="001D20C4" w:rsidRDefault="000860C8" w14:paraId="4D59D29F" w14:textId="02CC35A0">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09F1FD39"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238C36EB"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27B7A1DF" w14:textId="77777777">
        <w:trPr>
          <w:trHeight w:val="140"/>
          <w:jc w:val="center"/>
        </w:trPr>
        <w:tc>
          <w:tcPr>
            <w:tcW w:w="5220" w:type="dxa"/>
            <w:tcMar/>
          </w:tcPr>
          <w:p w:rsidR="00BE1510" w:rsidP="001D20C4" w:rsidRDefault="000860C8" w14:paraId="33D2F515" w14:textId="77777777">
            <w:pPr>
              <w:autoSpaceDE w:val="0"/>
              <w:autoSpaceDN w:val="0"/>
              <w:adjustRightInd w:val="0"/>
              <w:spacing w:line="240" w:lineRule="auto"/>
              <w:rPr>
                <w:rFonts w:ascii="Palatino Linotype" w:hAnsi="Palatino Linotype" w:cs="Palatino Linotype" w:eastAsiaTheme="minorHAnsi"/>
                <w:color w:val="000000"/>
              </w:rPr>
            </w:pPr>
            <w:r w:rsidRPr="000860C8">
              <w:rPr>
                <w:rFonts w:ascii="Palatino Linotype" w:hAnsi="Palatino Linotype" w:cs="Palatino Linotype" w:eastAsiaTheme="minorHAnsi"/>
                <w:color w:val="000000"/>
              </w:rPr>
              <w:t>5.4.</w:t>
            </w:r>
            <w:r>
              <w:rPr>
                <w:rFonts w:ascii="Palatino Linotype" w:hAnsi="Palatino Linotype" w:cs="Palatino Linotype" w:eastAsiaTheme="minorHAnsi"/>
                <w:color w:val="000000"/>
              </w:rPr>
              <w:t xml:space="preserve"> </w:t>
            </w:r>
            <w:r w:rsidRPr="000860C8">
              <w:rPr>
                <w:rFonts w:ascii="Palatino Linotype" w:hAnsi="Palatino Linotype" w:cs="Palatino Linotype" w:eastAsiaTheme="minorHAnsi"/>
                <w:color w:val="000000"/>
              </w:rPr>
              <w:t>Recognize and address the existence of test bias for multilingual learners, students with special needs, and additional marginalized populations.</w:t>
            </w:r>
          </w:p>
          <w:p w:rsidRPr="00FF188F" w:rsidR="000860C8" w:rsidP="001D20C4" w:rsidRDefault="000860C8" w14:paraId="54A0E0D1" w14:textId="56C0154F">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3ADD821A"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5ED4E08E"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34641A76" w14:textId="77777777">
        <w:trPr>
          <w:trHeight w:val="140"/>
          <w:jc w:val="center"/>
        </w:trPr>
        <w:tc>
          <w:tcPr>
            <w:tcW w:w="5220" w:type="dxa"/>
            <w:tcMar/>
          </w:tcPr>
          <w:p w:rsidR="00BE1510" w:rsidP="001D20C4" w:rsidRDefault="00A53D05" w14:paraId="39092DD7" w14:textId="77777777">
            <w:pPr>
              <w:autoSpaceDE w:val="0"/>
              <w:autoSpaceDN w:val="0"/>
              <w:adjustRightInd w:val="0"/>
              <w:spacing w:line="240" w:lineRule="auto"/>
              <w:rPr>
                <w:rFonts w:ascii="Palatino Linotype" w:hAnsi="Palatino Linotype" w:cs="Palatino Linotype" w:eastAsiaTheme="minorHAnsi"/>
                <w:color w:val="000000"/>
              </w:rPr>
            </w:pPr>
            <w:r w:rsidRPr="00A53D05">
              <w:rPr>
                <w:rFonts w:ascii="Palatino Linotype" w:hAnsi="Palatino Linotype" w:cs="Palatino Linotype" w:eastAsiaTheme="minorHAnsi"/>
                <w:color w:val="000000"/>
              </w:rPr>
              <w:t>5.5.</w:t>
            </w:r>
            <w:r>
              <w:rPr>
                <w:rFonts w:ascii="Palatino Linotype" w:hAnsi="Palatino Linotype" w:cs="Palatino Linotype" w:eastAsiaTheme="minorHAnsi"/>
                <w:color w:val="000000"/>
              </w:rPr>
              <w:t xml:space="preserve"> </w:t>
            </w:r>
            <w:r w:rsidRPr="00A53D05">
              <w:rPr>
                <w:rFonts w:ascii="Palatino Linotype" w:hAnsi="Palatino Linotype" w:cs="Palatino Linotype" w:eastAsiaTheme="minorHAnsi"/>
                <w:color w:val="000000"/>
              </w:rPr>
              <w:t>Understands the limitations of traditional standardized assessments and can utilize holistic or informal assessments, when appropriate, to meet the needs of all learners.</w:t>
            </w:r>
          </w:p>
          <w:p w:rsidRPr="00FF188F" w:rsidR="00A53D05" w:rsidP="001D20C4" w:rsidRDefault="00A53D05" w14:paraId="4AC9AC45" w14:textId="4892A023">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35E2BF1D"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56CA9287"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24B29041" w14:textId="77777777">
        <w:trPr>
          <w:trHeight w:val="140"/>
          <w:jc w:val="center"/>
        </w:trPr>
        <w:tc>
          <w:tcPr>
            <w:tcW w:w="5220" w:type="dxa"/>
            <w:tcMar/>
          </w:tcPr>
          <w:p w:rsidR="0063365A" w:rsidP="001D20C4" w:rsidRDefault="0063365A" w14:paraId="293E939F" w14:textId="77777777">
            <w:pPr>
              <w:autoSpaceDE w:val="0"/>
              <w:autoSpaceDN w:val="0"/>
              <w:adjustRightInd w:val="0"/>
              <w:spacing w:line="240" w:lineRule="auto"/>
              <w:rPr>
                <w:rFonts w:ascii="Palatino Linotype" w:hAnsi="Palatino Linotype" w:cs="Palatino Linotype" w:eastAsiaTheme="minorHAnsi"/>
                <w:color w:val="000000"/>
              </w:rPr>
            </w:pPr>
            <w:r w:rsidRPr="0063365A">
              <w:rPr>
                <w:rFonts w:ascii="Palatino Linotype" w:hAnsi="Palatino Linotype" w:cs="Palatino Linotype" w:eastAsiaTheme="minorHAnsi"/>
                <w:color w:val="000000"/>
              </w:rPr>
              <w:t xml:space="preserve">6. Teacher Leader Knowledge – </w:t>
            </w:r>
          </w:p>
          <w:p w:rsidR="00BE1510" w:rsidP="001D20C4" w:rsidRDefault="0063365A" w14:paraId="1D65BCC3" w14:textId="63074713">
            <w:pPr>
              <w:autoSpaceDE w:val="0"/>
              <w:autoSpaceDN w:val="0"/>
              <w:adjustRightInd w:val="0"/>
              <w:spacing w:line="240" w:lineRule="auto"/>
              <w:rPr>
                <w:rFonts w:ascii="Palatino Linotype" w:hAnsi="Palatino Linotype" w:cs="Palatino Linotype" w:eastAsiaTheme="minorHAnsi"/>
                <w:color w:val="000000"/>
              </w:rPr>
            </w:pPr>
            <w:r w:rsidRPr="0063365A">
              <w:rPr>
                <w:rFonts w:ascii="Palatino Linotype" w:hAnsi="Palatino Linotype" w:cs="Palatino Linotype" w:eastAsiaTheme="minorHAnsi"/>
                <w:color w:val="000000"/>
              </w:rPr>
              <w:t xml:space="preserve">Math Specialists foster a collaborative learning environment that includes staff, students, families, and the community. They use current research to </w:t>
            </w:r>
            <w:r w:rsidRPr="0063365A">
              <w:rPr>
                <w:rFonts w:ascii="Palatino Linotype" w:hAnsi="Palatino Linotype" w:cs="Palatino Linotype" w:eastAsiaTheme="minorHAnsi"/>
                <w:color w:val="000000"/>
              </w:rPr>
              <w:lastRenderedPageBreak/>
              <w:t>lead improvement in practices, promote professional learning with adult learners, and advocate for student needs and for the educational profession. Math Specialists:</w:t>
            </w:r>
          </w:p>
          <w:p w:rsidRPr="00FF188F" w:rsidR="0063365A" w:rsidP="001D20C4" w:rsidRDefault="0063365A" w14:paraId="7F57FD66" w14:textId="464DA128">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6DA13EC4"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5DF1EA33"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6FAA2789" w14:textId="77777777">
        <w:trPr>
          <w:trHeight w:val="140"/>
          <w:jc w:val="center"/>
        </w:trPr>
        <w:tc>
          <w:tcPr>
            <w:tcW w:w="5220" w:type="dxa"/>
            <w:tcMar/>
          </w:tcPr>
          <w:p w:rsidR="00BE1510" w:rsidP="001D20C4" w:rsidRDefault="005F6FEB" w14:paraId="55490E6A" w14:textId="77777777">
            <w:pPr>
              <w:autoSpaceDE w:val="0"/>
              <w:autoSpaceDN w:val="0"/>
              <w:adjustRightInd w:val="0"/>
              <w:spacing w:line="240" w:lineRule="auto"/>
              <w:rPr>
                <w:rFonts w:ascii="Palatino Linotype" w:hAnsi="Palatino Linotype" w:cs="Palatino Linotype" w:eastAsiaTheme="minorHAnsi"/>
                <w:color w:val="000000"/>
              </w:rPr>
            </w:pPr>
            <w:r w:rsidRPr="005F6FEB">
              <w:rPr>
                <w:rFonts w:ascii="Palatino Linotype" w:hAnsi="Palatino Linotype" w:cs="Palatino Linotype" w:eastAsiaTheme="minorHAnsi"/>
                <w:color w:val="000000"/>
              </w:rPr>
              <w:t>6.1.</w:t>
            </w:r>
            <w:r>
              <w:rPr>
                <w:rFonts w:ascii="Palatino Linotype" w:hAnsi="Palatino Linotype" w:cs="Palatino Linotype" w:eastAsiaTheme="minorHAnsi"/>
                <w:color w:val="000000"/>
              </w:rPr>
              <w:t xml:space="preserve"> </w:t>
            </w:r>
            <w:r w:rsidRPr="005F6FEB">
              <w:rPr>
                <w:rFonts w:ascii="Palatino Linotype" w:hAnsi="Palatino Linotype" w:cs="Palatino Linotype" w:eastAsiaTheme="minorHAnsi"/>
                <w:color w:val="000000"/>
              </w:rPr>
              <w:t>Use the principles of adult learning and mentorship to support school leadership in developing a culture of collegiality, trust, and respect that focuses on continuous improvement in instruction, student learning, and leadership decisions</w:t>
            </w:r>
            <w:r>
              <w:rPr>
                <w:rFonts w:ascii="Palatino Linotype" w:hAnsi="Palatino Linotype" w:cs="Palatino Linotype" w:eastAsiaTheme="minorHAnsi"/>
                <w:color w:val="000000"/>
              </w:rPr>
              <w:t>.</w:t>
            </w:r>
          </w:p>
          <w:p w:rsidRPr="00FF188F" w:rsidR="00D431D9" w:rsidP="001D20C4" w:rsidRDefault="00D431D9" w14:paraId="7154CC67" w14:textId="6F4688ED">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5D326D7F"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729F987F"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04E8A95A" w14:textId="77777777">
        <w:trPr>
          <w:trHeight w:val="140"/>
          <w:jc w:val="center"/>
        </w:trPr>
        <w:tc>
          <w:tcPr>
            <w:tcW w:w="5220" w:type="dxa"/>
            <w:tcMar/>
          </w:tcPr>
          <w:p w:rsidR="00BE1510" w:rsidP="001D20C4" w:rsidRDefault="005F6FEB" w14:paraId="4E29AFEB" w14:textId="77777777">
            <w:pPr>
              <w:autoSpaceDE w:val="0"/>
              <w:autoSpaceDN w:val="0"/>
              <w:adjustRightInd w:val="0"/>
              <w:spacing w:line="240" w:lineRule="auto"/>
              <w:rPr>
                <w:rFonts w:ascii="Palatino Linotype" w:hAnsi="Palatino Linotype" w:cs="Palatino Linotype" w:eastAsiaTheme="minorHAnsi"/>
                <w:color w:val="000000"/>
              </w:rPr>
            </w:pPr>
            <w:r w:rsidRPr="005F6FEB">
              <w:rPr>
                <w:rFonts w:ascii="Palatino Linotype" w:hAnsi="Palatino Linotype" w:cs="Palatino Linotype" w:eastAsiaTheme="minorHAnsi"/>
                <w:color w:val="000000"/>
              </w:rPr>
              <w:t>6.2.</w:t>
            </w:r>
            <w:r>
              <w:rPr>
                <w:rFonts w:ascii="Palatino Linotype" w:hAnsi="Palatino Linotype" w:cs="Palatino Linotype" w:eastAsiaTheme="minorHAnsi"/>
                <w:color w:val="000000"/>
              </w:rPr>
              <w:t xml:space="preserve"> </w:t>
            </w:r>
            <w:r w:rsidRPr="005F6FEB">
              <w:rPr>
                <w:rFonts w:ascii="Palatino Linotype" w:hAnsi="Palatino Linotype" w:cs="Palatino Linotype" w:eastAsiaTheme="minorHAnsi"/>
                <w:color w:val="000000"/>
              </w:rPr>
              <w:t xml:space="preserve">Conduct needs assessments to prioritize, promote, design, and facilitate </w:t>
            </w:r>
            <w:r w:rsidRPr="005F6FEB">
              <w:rPr>
                <w:rFonts w:ascii="Palatino Linotype" w:hAnsi="Palatino Linotype" w:cs="Palatino Linotype" w:eastAsiaTheme="minorHAnsi"/>
                <w:color w:val="000000"/>
              </w:rPr>
              <w:t>job</w:t>
            </w:r>
            <w:r w:rsidR="00D431D9">
              <w:rPr>
                <w:rFonts w:ascii="Palatino Linotype" w:hAnsi="Palatino Linotype" w:cs="Palatino Linotype" w:eastAsiaTheme="minorHAnsi"/>
                <w:color w:val="000000"/>
              </w:rPr>
              <w:t>-</w:t>
            </w:r>
            <w:r w:rsidRPr="005F6FEB">
              <w:rPr>
                <w:rFonts w:ascii="Palatino Linotype" w:hAnsi="Palatino Linotype" w:cs="Palatino Linotype" w:eastAsiaTheme="minorHAnsi"/>
                <w:color w:val="000000"/>
              </w:rPr>
              <w:t>embedded</w:t>
            </w:r>
            <w:r w:rsidRPr="005F6FEB">
              <w:rPr>
                <w:rFonts w:ascii="Palatino Linotype" w:hAnsi="Palatino Linotype" w:cs="Palatino Linotype" w:eastAsiaTheme="minorHAnsi"/>
                <w:color w:val="000000"/>
              </w:rPr>
              <w:t xml:space="preserve"> professional learning aligned with school, district, and state improvement goals.</w:t>
            </w:r>
          </w:p>
          <w:p w:rsidRPr="00FF188F" w:rsidR="00D431D9" w:rsidP="001D20C4" w:rsidRDefault="00D431D9" w14:paraId="6DBBA615" w14:textId="03125E86">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52DF6272"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5ED0A221"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7903871E" w14:textId="77777777">
        <w:trPr>
          <w:trHeight w:val="140"/>
          <w:jc w:val="center"/>
        </w:trPr>
        <w:tc>
          <w:tcPr>
            <w:tcW w:w="5220" w:type="dxa"/>
            <w:tcMar/>
          </w:tcPr>
          <w:p w:rsidR="00BE1510" w:rsidP="001D20C4" w:rsidRDefault="00D431D9" w14:paraId="13CAA7FA" w14:textId="77777777">
            <w:pPr>
              <w:autoSpaceDE w:val="0"/>
              <w:autoSpaceDN w:val="0"/>
              <w:adjustRightInd w:val="0"/>
              <w:spacing w:line="240" w:lineRule="auto"/>
              <w:rPr>
                <w:rFonts w:ascii="Palatino Linotype" w:hAnsi="Palatino Linotype" w:cs="Palatino Linotype" w:eastAsiaTheme="minorHAnsi"/>
                <w:color w:val="000000"/>
              </w:rPr>
            </w:pPr>
            <w:r w:rsidRPr="00D431D9">
              <w:rPr>
                <w:rFonts w:ascii="Palatino Linotype" w:hAnsi="Palatino Linotype" w:cs="Palatino Linotype" w:eastAsiaTheme="minorHAnsi"/>
                <w:color w:val="000000"/>
              </w:rPr>
              <w:t>6.3.</w:t>
            </w:r>
            <w:r>
              <w:rPr>
                <w:rFonts w:ascii="Palatino Linotype" w:hAnsi="Palatino Linotype" w:cs="Palatino Linotype" w:eastAsiaTheme="minorHAnsi"/>
                <w:color w:val="000000"/>
              </w:rPr>
              <w:t xml:space="preserve"> </w:t>
            </w:r>
            <w:r w:rsidRPr="00D431D9">
              <w:rPr>
                <w:rFonts w:ascii="Palatino Linotype" w:hAnsi="Palatino Linotype" w:cs="Palatino Linotype" w:eastAsiaTheme="minorHAnsi"/>
                <w:color w:val="000000"/>
              </w:rPr>
              <w:t>Understand that families, cultures, home language(s), and communities are essential components in educational processes and student learning and work with colleagues to promote ongoing systematic collaboration with families, community members, business and community leaders, and other stakeholders to improve the educational system.</w:t>
            </w:r>
          </w:p>
          <w:p w:rsidRPr="00FF188F" w:rsidR="00D431D9" w:rsidP="001D20C4" w:rsidRDefault="00D431D9" w14:paraId="6CB5A19B" w14:textId="31A8E6E7">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0F05B531"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6904D245"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0A4E8925" w14:textId="77777777">
        <w:trPr>
          <w:trHeight w:val="140"/>
          <w:jc w:val="center"/>
        </w:trPr>
        <w:tc>
          <w:tcPr>
            <w:tcW w:w="5220" w:type="dxa"/>
            <w:tcMar/>
          </w:tcPr>
          <w:p w:rsidR="00BE1510" w:rsidP="001D20C4" w:rsidRDefault="00733FC2" w14:paraId="65A765CD" w14:textId="77777777">
            <w:pPr>
              <w:autoSpaceDE w:val="0"/>
              <w:autoSpaceDN w:val="0"/>
              <w:adjustRightInd w:val="0"/>
              <w:spacing w:line="240" w:lineRule="auto"/>
              <w:rPr>
                <w:rFonts w:ascii="Palatino Linotype" w:hAnsi="Palatino Linotype" w:cs="Palatino Linotype" w:eastAsiaTheme="minorHAnsi"/>
                <w:color w:val="000000"/>
              </w:rPr>
            </w:pPr>
            <w:r w:rsidRPr="00733FC2">
              <w:rPr>
                <w:rFonts w:ascii="Palatino Linotype" w:hAnsi="Palatino Linotype" w:cs="Palatino Linotype" w:eastAsiaTheme="minorHAnsi"/>
                <w:color w:val="000000"/>
              </w:rPr>
              <w:t>6.</w:t>
            </w:r>
            <w:r w:rsidRPr="00733FC2">
              <w:rPr>
                <w:rFonts w:ascii="Palatino Linotype" w:hAnsi="Palatino Linotype" w:cs="Palatino Linotype" w:eastAsiaTheme="minorHAnsi"/>
                <w:color w:val="000000"/>
              </w:rPr>
              <w:t>4. Understand</w:t>
            </w:r>
            <w:r w:rsidRPr="00733FC2">
              <w:rPr>
                <w:rFonts w:ascii="Palatino Linotype" w:hAnsi="Palatino Linotype" w:cs="Palatino Linotype" w:eastAsiaTheme="minorHAnsi"/>
                <w:color w:val="000000"/>
              </w:rPr>
              <w:t xml:space="preserve"> how educational policy is made at the local, state, and national level as well as the roles of school leaders, boards of education, legislators, and other stakeholders in formulating those policies. They use this knowledge to advocate for student needs and for practices that support effective teaching and increase student learning.</w:t>
            </w:r>
          </w:p>
          <w:p w:rsidRPr="00FF188F" w:rsidR="00733FC2" w:rsidP="001D20C4" w:rsidRDefault="00733FC2" w14:paraId="176372E0" w14:textId="39177211">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5D3AC148"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3215D30E" w14:textId="77777777">
            <w:pPr>
              <w:spacing w:line="240" w:lineRule="auto"/>
              <w:rPr>
                <w:rFonts w:ascii="Palatino Linotype" w:hAnsi="Palatino Linotype" w:eastAsia="Palatino Linotype" w:cs="Palatino Linotype"/>
                <w:b/>
                <w:color w:val="000000" w:themeColor="text1"/>
              </w:rPr>
            </w:pPr>
          </w:p>
        </w:tc>
      </w:tr>
      <w:tr w:rsidRPr="001D20C4" w:rsidR="00BE1510" w:rsidTr="0B4AF91B" w14:paraId="49D1F89C" w14:textId="77777777">
        <w:trPr>
          <w:trHeight w:val="140"/>
          <w:jc w:val="center"/>
        </w:trPr>
        <w:tc>
          <w:tcPr>
            <w:tcW w:w="5220" w:type="dxa"/>
            <w:tcMar/>
          </w:tcPr>
          <w:p w:rsidR="00BE1510" w:rsidP="001D20C4" w:rsidRDefault="00733FC2" w14:paraId="5AE422B1" w14:textId="77777777">
            <w:pPr>
              <w:autoSpaceDE w:val="0"/>
              <w:autoSpaceDN w:val="0"/>
              <w:adjustRightInd w:val="0"/>
              <w:spacing w:line="240" w:lineRule="auto"/>
              <w:rPr>
                <w:rFonts w:ascii="Palatino Linotype" w:hAnsi="Palatino Linotype" w:cs="Palatino Linotype" w:eastAsiaTheme="minorHAnsi"/>
                <w:color w:val="000000"/>
              </w:rPr>
            </w:pPr>
            <w:r w:rsidRPr="00733FC2">
              <w:rPr>
                <w:rFonts w:ascii="Palatino Linotype" w:hAnsi="Palatino Linotype" w:cs="Palatino Linotype" w:eastAsiaTheme="minorHAnsi"/>
                <w:color w:val="000000"/>
              </w:rPr>
              <w:t>7. 21 credits in Mathematics Education</w:t>
            </w:r>
          </w:p>
          <w:p w:rsidRPr="00FF188F" w:rsidR="00733FC2" w:rsidP="001D20C4" w:rsidRDefault="00733FC2" w14:paraId="01F007BE" w14:textId="74DFB1BE">
            <w:pPr>
              <w:autoSpaceDE w:val="0"/>
              <w:autoSpaceDN w:val="0"/>
              <w:adjustRightInd w:val="0"/>
              <w:spacing w:line="240" w:lineRule="auto"/>
              <w:rPr>
                <w:rFonts w:ascii="Palatino Linotype" w:hAnsi="Palatino Linotype" w:cs="Palatino Linotype" w:eastAsiaTheme="minorHAnsi"/>
                <w:color w:val="000000"/>
              </w:rPr>
            </w:pPr>
          </w:p>
        </w:tc>
        <w:tc>
          <w:tcPr>
            <w:tcW w:w="2130" w:type="dxa"/>
            <w:tcMar/>
          </w:tcPr>
          <w:p w:rsidRPr="00B716E3" w:rsidR="00BE1510" w:rsidP="00A460CC" w:rsidRDefault="00BE1510" w14:paraId="7065B972"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BE1510" w:rsidP="001D20C4" w:rsidRDefault="00BE1510" w14:paraId="098837D1" w14:textId="77777777">
            <w:pPr>
              <w:spacing w:line="240" w:lineRule="auto"/>
              <w:rPr>
                <w:rFonts w:ascii="Palatino Linotype" w:hAnsi="Palatino Linotype" w:eastAsia="Palatino Linotype" w:cs="Palatino Linotype"/>
                <w:b/>
                <w:color w:val="000000" w:themeColor="text1"/>
              </w:rPr>
            </w:pPr>
          </w:p>
        </w:tc>
      </w:tr>
      <w:tr w:rsidRPr="001D20C4" w:rsidR="00733FC2" w:rsidTr="0B4AF91B" w14:paraId="08217569" w14:textId="77777777">
        <w:trPr>
          <w:trHeight w:val="140"/>
          <w:jc w:val="center"/>
        </w:trPr>
        <w:tc>
          <w:tcPr>
            <w:tcW w:w="5220" w:type="dxa"/>
            <w:tcMar/>
          </w:tcPr>
          <w:p w:rsidRPr="00733FC2" w:rsidR="00733FC2" w:rsidP="001D20C4" w:rsidRDefault="0023078A" w14:paraId="26CC8AE1" w14:textId="41A083CC">
            <w:pPr>
              <w:autoSpaceDE w:val="0"/>
              <w:autoSpaceDN w:val="0"/>
              <w:adjustRightInd w:val="0"/>
              <w:spacing w:line="240" w:lineRule="auto"/>
              <w:rPr>
                <w:rFonts w:ascii="Palatino Linotype" w:hAnsi="Palatino Linotype" w:cs="Palatino Linotype" w:eastAsiaTheme="minorHAnsi"/>
                <w:color w:val="000000"/>
              </w:rPr>
            </w:pPr>
            <w:r w:rsidRPr="0023078A">
              <w:rPr>
                <w:rFonts w:ascii="Palatino Linotype" w:hAnsi="Palatino Linotype" w:cs="Palatino Linotype" w:eastAsiaTheme="minorHAnsi"/>
                <w:color w:val="000000"/>
              </w:rPr>
              <w:t xml:space="preserve">8. A minimum of a practicum, or the equivalent, in mathematics instruction at the PK/elementary (PK-8) or middle/secondary (5-12) instructional level, </w:t>
            </w:r>
            <w:r w:rsidRPr="0023078A">
              <w:rPr>
                <w:rFonts w:ascii="Palatino Linotype" w:hAnsi="Palatino Linotype" w:cs="Palatino Linotype" w:eastAsiaTheme="minorHAnsi"/>
                <w:color w:val="000000"/>
              </w:rPr>
              <w:lastRenderedPageBreak/>
              <w:t>depending on the authorization sought. For the full PK-12 authorization, a minimum of a practicum, or equivalent, in a PK/Elementary School setting and a second practicum, or equivalent, in a separate Middle/High School setting is required.</w:t>
            </w:r>
          </w:p>
        </w:tc>
        <w:tc>
          <w:tcPr>
            <w:tcW w:w="2130" w:type="dxa"/>
            <w:tcMar/>
          </w:tcPr>
          <w:p w:rsidRPr="00B716E3" w:rsidR="00733FC2" w:rsidP="00A460CC" w:rsidRDefault="00733FC2" w14:paraId="0FF89742" w14:textId="77777777">
            <w:pPr>
              <w:keepNext/>
              <w:spacing w:line="240" w:lineRule="auto"/>
              <w:rPr>
                <w:rFonts w:ascii="Palatino Linotype" w:hAnsi="Palatino Linotype" w:eastAsia="Palatino Linotype" w:cs="Palatino Linotype"/>
                <w:b/>
                <w:color w:val="000000" w:themeColor="text1"/>
              </w:rPr>
            </w:pPr>
          </w:p>
        </w:tc>
        <w:tc>
          <w:tcPr>
            <w:tcW w:w="2310" w:type="dxa"/>
            <w:tcMar/>
          </w:tcPr>
          <w:p w:rsidRPr="00B716E3" w:rsidR="00733FC2" w:rsidP="001D20C4" w:rsidRDefault="00733FC2" w14:paraId="4ECF7752" w14:textId="77777777">
            <w:pPr>
              <w:spacing w:line="240" w:lineRule="auto"/>
              <w:rPr>
                <w:rFonts w:ascii="Palatino Linotype" w:hAnsi="Palatino Linotype" w:eastAsia="Palatino Linotype" w:cs="Palatino Linotype"/>
                <w:b/>
                <w:color w:val="000000" w:themeColor="text1"/>
              </w:rPr>
            </w:pPr>
          </w:p>
        </w:tc>
      </w:tr>
    </w:tbl>
    <w:p w:rsidRPr="00B01A2D" w:rsidR="003519B3" w:rsidP="001D20C4" w:rsidRDefault="003519B3" w14:paraId="5023141B" w14:textId="77777777">
      <w:pPr>
        <w:rPr>
          <w:rFonts w:ascii="Palatino Linotype" w:hAnsi="Palatino Linotype"/>
        </w:rPr>
      </w:pPr>
    </w:p>
    <w:sectPr w:rsidRPr="00B01A2D" w:rsidR="003519B3" w:rsidSect="001D20C4">
      <w:headerReference w:type="default" r:id="rId10"/>
      <w:footerReference w:type="default" r:id="rId11"/>
      <w:pgSz w:w="12240" w:h="15840" w:orient="portrait"/>
      <w:pgMar w:top="360" w:right="1440" w:bottom="36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E14" w:rsidP="009700E5" w:rsidRDefault="00E81E14" w14:paraId="03885E03" w14:textId="77777777">
      <w:pPr>
        <w:spacing w:line="240" w:lineRule="auto"/>
      </w:pPr>
      <w:r>
        <w:separator/>
      </w:r>
    </w:p>
  </w:endnote>
  <w:endnote w:type="continuationSeparator" w:id="0">
    <w:p w:rsidR="00E81E14" w:rsidP="009700E5" w:rsidRDefault="00E81E14" w14:paraId="773ED14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797245960"/>
      <w:docPartObj>
        <w:docPartGallery w:val="Page Numbers (Bottom of Page)"/>
        <w:docPartUnique/>
      </w:docPartObj>
    </w:sdtPr>
    <w:sdtEndPr>
      <w:rPr>
        <w:rFonts w:ascii="Palatino Linotype" w:hAnsi="Palatino Linotype"/>
        <w:noProof/>
        <w:sz w:val="20"/>
        <w:szCs w:val="20"/>
      </w:rPr>
    </w:sdtEndPr>
    <w:sdtContent>
      <w:p w:rsidRPr="00714D7B" w:rsidR="009700E5" w:rsidP="009700E5" w:rsidRDefault="009700E5" w14:paraId="1DA6542E" w14:textId="77777777">
        <w:pPr>
          <w:pStyle w:val="Footer"/>
          <w:jc w:val="right"/>
          <w:rPr>
            <w:rFonts w:ascii="Palatino Linotype" w:hAnsi="Palatino Linotype"/>
            <w:noProof/>
            <w:sz w:val="18"/>
            <w:szCs w:val="18"/>
          </w:rPr>
        </w:pPr>
      </w:p>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780"/>
          <w:gridCol w:w="2208"/>
          <w:gridCol w:w="3372"/>
        </w:tblGrid>
        <w:tr w:rsidRPr="00714D7B" w:rsidR="009700E5" w:rsidTr="00377E6D" w14:paraId="4DEF64E4" w14:textId="77777777">
          <w:trPr>
            <w:trHeight w:val="633"/>
            <w:tblHeader/>
          </w:trPr>
          <w:tc>
            <w:tcPr>
              <w:tcW w:w="3780" w:type="dxa"/>
            </w:tcPr>
            <w:p w:rsidR="001D20C4" w:rsidP="009700E5" w:rsidRDefault="1DCC319C" w14:paraId="338934FA" w14:textId="2FC75C7D">
              <w:pPr>
                <w:ind w:right="-612"/>
                <w:rPr>
                  <w:rFonts w:ascii="Palatino Linotype" w:hAnsi="Palatino Linotype"/>
                  <w:sz w:val="18"/>
                  <w:szCs w:val="18"/>
                </w:rPr>
              </w:pPr>
              <w:r w:rsidRPr="1DCC319C">
                <w:rPr>
                  <w:rFonts w:ascii="Palatino Linotype" w:hAnsi="Palatino Linotype"/>
                  <w:sz w:val="18"/>
                  <w:szCs w:val="18"/>
                </w:rPr>
                <w:t xml:space="preserve">Transcript Review Worksheet </w:t>
              </w:r>
              <w:r w:rsidR="00377E6D">
                <w:rPr>
                  <w:rFonts w:ascii="Palatino Linotype" w:hAnsi="Palatino Linotype"/>
                  <w:sz w:val="18"/>
                  <w:szCs w:val="18"/>
                </w:rPr>
                <w:t>Math Specialist</w:t>
              </w:r>
            </w:p>
            <w:p w:rsidRPr="00714D7B" w:rsidR="009700E5" w:rsidP="1DCC319C" w:rsidRDefault="00377E6D" w14:paraId="2DBB62D5" w14:textId="7FC01263">
              <w:pPr>
                <w:ind w:right="-612"/>
                <w:rPr>
                  <w:sz w:val="18"/>
                  <w:szCs w:val="18"/>
                </w:rPr>
              </w:pPr>
              <w:r>
                <w:rPr>
                  <w:sz w:val="18"/>
                  <w:szCs w:val="18"/>
                </w:rPr>
                <w:t>9.9.2024</w:t>
              </w:r>
            </w:p>
          </w:tc>
          <w:tc>
            <w:tcPr>
              <w:tcW w:w="2208" w:type="dxa"/>
            </w:tcPr>
            <w:p w:rsidRPr="00714D7B" w:rsidR="009700E5" w:rsidP="009700E5" w:rsidRDefault="009700E5" w14:paraId="09B3E6CD" w14:textId="77777777">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7</w:t>
              </w:r>
              <w:r w:rsidRPr="00714D7B">
                <w:rPr>
                  <w:rFonts w:ascii="Palatino Linotype" w:hAnsi="Palatino Linotype"/>
                  <w:b/>
                  <w:noProof/>
                  <w:sz w:val="18"/>
                  <w:szCs w:val="18"/>
                </w:rPr>
                <w:fldChar w:fldCharType="end"/>
              </w:r>
            </w:p>
          </w:tc>
          <w:tc>
            <w:tcPr>
              <w:tcW w:w="3372" w:type="dxa"/>
            </w:tcPr>
            <w:p w:rsidRPr="00714D7B" w:rsidR="009700E5" w:rsidP="009700E5" w:rsidRDefault="009700E5" w14:paraId="3041E394" w14:textId="77777777">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432DCB6C" wp14:editId="4EE1BB2F">
                    <wp:extent cx="920017" cy="230744"/>
                    <wp:effectExtent l="0" t="0" r="0" b="0"/>
                    <wp:docPr id="6" name="Picture 6"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Pr="009700E5" w:rsidR="009700E5" w:rsidP="009700E5" w:rsidRDefault="00000000" w14:paraId="722B00AE" w14:textId="77777777">
        <w:pPr>
          <w:pStyle w:val="Footer"/>
          <w:rPr>
            <w:rFonts w:ascii="Palatino Linotype" w:hAnsi="Palatino Linotype"/>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E14" w:rsidP="009700E5" w:rsidRDefault="00E81E14" w14:paraId="211A6BC0" w14:textId="77777777">
      <w:pPr>
        <w:spacing w:line="240" w:lineRule="auto"/>
      </w:pPr>
      <w:r>
        <w:separator/>
      </w:r>
    </w:p>
  </w:footnote>
  <w:footnote w:type="continuationSeparator" w:id="0">
    <w:p w:rsidR="00E81E14" w:rsidP="009700E5" w:rsidRDefault="00E81E14" w14:paraId="755AD4E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700E5" w:rsidP="009700E5" w:rsidRDefault="009700E5" w14:paraId="1F3B1409" w14:textId="77777777">
    <w:pPr>
      <w:pStyle w:val="Header"/>
      <w:jc w:val="center"/>
    </w:pPr>
    <w:r>
      <w:rPr>
        <w:noProof/>
      </w:rPr>
      <w:drawing>
        <wp:inline distT="0" distB="0" distL="0" distR="0" wp14:anchorId="62264134" wp14:editId="70A040FA">
          <wp:extent cx="1614621" cy="550321"/>
          <wp:effectExtent l="0" t="0" r="5080" b="2540"/>
          <wp:docPr id="5" name="Picture 5"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Pr="004009A8" w:rsidR="009700E5" w:rsidP="009700E5" w:rsidRDefault="009700E5" w14:paraId="1540F463" w14:textId="77777777">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0562</w:t>
    </w:r>
    <w:r w:rsidR="00787750">
      <w:rPr>
        <w:rFonts w:ascii="Palatino Linotype" w:hAnsi="Palatino Linotype"/>
        <w:shd w:val="clear" w:color="auto" w:fill="FFFFFF"/>
      </w:rPr>
      <w:t>0</w:t>
    </w:r>
    <w:r w:rsidRPr="004009A8">
      <w:rPr>
        <w:rFonts w:ascii="Palatino Linotype" w:hAnsi="Palatino Linotype"/>
      </w:rPr>
      <w:t xml:space="preserve"> (p) 802-</w:t>
    </w:r>
    <w:r w:rsidR="00787750">
      <w:rPr>
        <w:rFonts w:ascii="Palatino Linotype" w:hAnsi="Palatino Linotype"/>
      </w:rPr>
      <w:t>828-3440</w:t>
    </w:r>
    <w:r w:rsidRPr="004009A8">
      <w:rPr>
        <w:rFonts w:ascii="Palatino Linotype" w:hAnsi="Palatino Linotype"/>
      </w:rPr>
      <w:t xml:space="preserve"> | (f) 802-</w:t>
    </w:r>
    <w:r w:rsidR="00787750">
      <w:rPr>
        <w:rFonts w:ascii="Palatino Linotype" w:hAnsi="Palatino Linotype"/>
      </w:rPr>
      <w:t>828-6433</w:t>
    </w:r>
  </w:p>
  <w:p w:rsidR="009700E5" w:rsidRDefault="009700E5" w14:paraId="562C75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73EE"/>
    <w:multiLevelType w:val="hybridMultilevel"/>
    <w:tmpl w:val="5752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866EE"/>
    <w:multiLevelType w:val="multilevel"/>
    <w:tmpl w:val="3DB48B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4415DA"/>
    <w:multiLevelType w:val="hybridMultilevel"/>
    <w:tmpl w:val="D38A0ABC"/>
    <w:lvl w:ilvl="0" w:tplc="578ABEF2">
      <w:numFmt w:val="bullet"/>
      <w:lvlText w:val="-"/>
      <w:lvlJc w:val="left"/>
      <w:pPr>
        <w:ind w:left="720" w:hanging="360"/>
      </w:pPr>
      <w:rPr>
        <w:rFonts w:hint="default" w:ascii="Palatino Linotype" w:hAnsi="Palatino Linotype" w:eastAsia="Palatino Linotype" w:cs="Palatino Linotyp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8680BBF"/>
    <w:multiLevelType w:val="hybridMultilevel"/>
    <w:tmpl w:val="17B6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11561"/>
    <w:multiLevelType w:val="multilevel"/>
    <w:tmpl w:val="D2165540"/>
    <w:lvl w:ilvl="0">
      <w:start w:val="1"/>
      <w:numFmt w:val="decimal"/>
      <w:lvlText w:val="%1."/>
      <w:lvlJc w:val="left"/>
      <w:pPr>
        <w:ind w:left="540" w:hanging="540"/>
      </w:pPr>
      <w:rPr>
        <w:rFonts w:hint="default" w:ascii="Arial" w:hAnsi="Arial"/>
        <w:sz w:val="22"/>
      </w:rPr>
    </w:lvl>
    <w:lvl w:ilvl="1">
      <w:start w:val="1"/>
      <w:numFmt w:val="decimal"/>
      <w:lvlText w:val="%1.%2."/>
      <w:lvlJc w:val="left"/>
      <w:pPr>
        <w:ind w:left="540" w:hanging="540"/>
      </w:pPr>
      <w:rPr>
        <w:rFonts w:hint="default" w:ascii="Arial" w:hAnsi="Arial"/>
        <w:sz w:val="22"/>
      </w:rPr>
    </w:lvl>
    <w:lvl w:ilvl="2">
      <w:start w:val="1"/>
      <w:numFmt w:val="decimal"/>
      <w:lvlText w:val="%1.%2.%3."/>
      <w:lvlJc w:val="left"/>
      <w:pPr>
        <w:ind w:left="720" w:hanging="720"/>
      </w:pPr>
      <w:rPr>
        <w:rFonts w:hint="default" w:ascii="Palatino Linotype" w:hAnsi="Palatino Linotype"/>
        <w:sz w:val="22"/>
      </w:rPr>
    </w:lvl>
    <w:lvl w:ilvl="3">
      <w:start w:val="1"/>
      <w:numFmt w:val="decimal"/>
      <w:lvlText w:val="%1.%2.%3.%4."/>
      <w:lvlJc w:val="left"/>
      <w:pPr>
        <w:ind w:left="720" w:hanging="720"/>
      </w:pPr>
      <w:rPr>
        <w:rFonts w:hint="default" w:ascii="Arial" w:hAnsi="Arial"/>
        <w:sz w:val="22"/>
      </w:rPr>
    </w:lvl>
    <w:lvl w:ilvl="4">
      <w:start w:val="1"/>
      <w:numFmt w:val="decimal"/>
      <w:lvlText w:val="%1.%2.%3.%4.%5."/>
      <w:lvlJc w:val="left"/>
      <w:pPr>
        <w:ind w:left="1080" w:hanging="1080"/>
      </w:pPr>
      <w:rPr>
        <w:rFonts w:hint="default" w:ascii="Arial" w:hAnsi="Arial"/>
        <w:sz w:val="22"/>
      </w:rPr>
    </w:lvl>
    <w:lvl w:ilvl="5">
      <w:start w:val="1"/>
      <w:numFmt w:val="decimal"/>
      <w:lvlText w:val="%1.%2.%3.%4.%5.%6."/>
      <w:lvlJc w:val="left"/>
      <w:pPr>
        <w:ind w:left="1080" w:hanging="1080"/>
      </w:pPr>
      <w:rPr>
        <w:rFonts w:hint="default" w:ascii="Arial" w:hAnsi="Arial"/>
        <w:sz w:val="22"/>
      </w:rPr>
    </w:lvl>
    <w:lvl w:ilvl="6">
      <w:start w:val="1"/>
      <w:numFmt w:val="decimal"/>
      <w:lvlText w:val="%1.%2.%3.%4.%5.%6.%7."/>
      <w:lvlJc w:val="left"/>
      <w:pPr>
        <w:ind w:left="1440" w:hanging="1440"/>
      </w:pPr>
      <w:rPr>
        <w:rFonts w:hint="default" w:ascii="Arial" w:hAnsi="Arial"/>
        <w:sz w:val="22"/>
      </w:rPr>
    </w:lvl>
    <w:lvl w:ilvl="7">
      <w:start w:val="1"/>
      <w:numFmt w:val="decimal"/>
      <w:lvlText w:val="%1.%2.%3.%4.%5.%6.%7.%8."/>
      <w:lvlJc w:val="left"/>
      <w:pPr>
        <w:ind w:left="1440" w:hanging="1440"/>
      </w:pPr>
      <w:rPr>
        <w:rFonts w:hint="default" w:ascii="Arial" w:hAnsi="Arial"/>
        <w:sz w:val="22"/>
      </w:rPr>
    </w:lvl>
    <w:lvl w:ilvl="8">
      <w:start w:val="1"/>
      <w:numFmt w:val="decimal"/>
      <w:lvlText w:val="%1.%2.%3.%4.%5.%6.%7.%8.%9."/>
      <w:lvlJc w:val="left"/>
      <w:pPr>
        <w:ind w:left="1800" w:hanging="1800"/>
      </w:pPr>
      <w:rPr>
        <w:rFonts w:hint="default" w:ascii="Arial" w:hAnsi="Arial"/>
        <w:sz w:val="22"/>
      </w:rPr>
    </w:lvl>
  </w:abstractNum>
  <w:num w:numId="1" w16cid:durableId="403723210">
    <w:abstractNumId w:val="1"/>
  </w:num>
  <w:num w:numId="2" w16cid:durableId="961107845">
    <w:abstractNumId w:val="4"/>
  </w:num>
  <w:num w:numId="3" w16cid:durableId="671875205">
    <w:abstractNumId w:val="2"/>
  </w:num>
  <w:num w:numId="4" w16cid:durableId="669335028">
    <w:abstractNumId w:val="3"/>
  </w:num>
  <w:num w:numId="5" w16cid:durableId="115607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B3"/>
    <w:rsid w:val="000373AC"/>
    <w:rsid w:val="00062A82"/>
    <w:rsid w:val="000854DE"/>
    <w:rsid w:val="000860C8"/>
    <w:rsid w:val="0009194A"/>
    <w:rsid w:val="000B2088"/>
    <w:rsid w:val="000D2F41"/>
    <w:rsid w:val="000D4063"/>
    <w:rsid w:val="000E5C68"/>
    <w:rsid w:val="00106D93"/>
    <w:rsid w:val="00152722"/>
    <w:rsid w:val="00177E6E"/>
    <w:rsid w:val="001A4E7A"/>
    <w:rsid w:val="001B2865"/>
    <w:rsid w:val="001C65DF"/>
    <w:rsid w:val="001D20C4"/>
    <w:rsid w:val="0023078A"/>
    <w:rsid w:val="00237D7D"/>
    <w:rsid w:val="00275BB1"/>
    <w:rsid w:val="002A49F0"/>
    <w:rsid w:val="003303EB"/>
    <w:rsid w:val="003519B3"/>
    <w:rsid w:val="00377E6D"/>
    <w:rsid w:val="003B3A28"/>
    <w:rsid w:val="003C68CC"/>
    <w:rsid w:val="003C7098"/>
    <w:rsid w:val="003F3267"/>
    <w:rsid w:val="004352B6"/>
    <w:rsid w:val="004D0701"/>
    <w:rsid w:val="005279AE"/>
    <w:rsid w:val="005360B6"/>
    <w:rsid w:val="0057011C"/>
    <w:rsid w:val="005A2C5E"/>
    <w:rsid w:val="005B162C"/>
    <w:rsid w:val="005B6611"/>
    <w:rsid w:val="005C3E74"/>
    <w:rsid w:val="005D3655"/>
    <w:rsid w:val="005F6FEB"/>
    <w:rsid w:val="0063365A"/>
    <w:rsid w:val="006516E9"/>
    <w:rsid w:val="00687B7E"/>
    <w:rsid w:val="00695D3D"/>
    <w:rsid w:val="00711EB5"/>
    <w:rsid w:val="007301D1"/>
    <w:rsid w:val="00733FC2"/>
    <w:rsid w:val="007471B3"/>
    <w:rsid w:val="007572C6"/>
    <w:rsid w:val="0076727B"/>
    <w:rsid w:val="00787750"/>
    <w:rsid w:val="0079698D"/>
    <w:rsid w:val="007A0BB3"/>
    <w:rsid w:val="007F5897"/>
    <w:rsid w:val="00812C01"/>
    <w:rsid w:val="008361C8"/>
    <w:rsid w:val="00837115"/>
    <w:rsid w:val="0092502A"/>
    <w:rsid w:val="009602CA"/>
    <w:rsid w:val="009700E5"/>
    <w:rsid w:val="0098367C"/>
    <w:rsid w:val="00A3180C"/>
    <w:rsid w:val="00A460CC"/>
    <w:rsid w:val="00A53D05"/>
    <w:rsid w:val="00A65397"/>
    <w:rsid w:val="00B02590"/>
    <w:rsid w:val="00B057FA"/>
    <w:rsid w:val="00B716E3"/>
    <w:rsid w:val="00B83953"/>
    <w:rsid w:val="00B85FB5"/>
    <w:rsid w:val="00BE1510"/>
    <w:rsid w:val="00BF2282"/>
    <w:rsid w:val="00BF24A2"/>
    <w:rsid w:val="00C3375E"/>
    <w:rsid w:val="00C44413"/>
    <w:rsid w:val="00C546D3"/>
    <w:rsid w:val="00CE5C85"/>
    <w:rsid w:val="00D03FAD"/>
    <w:rsid w:val="00D31279"/>
    <w:rsid w:val="00D431D9"/>
    <w:rsid w:val="00D44549"/>
    <w:rsid w:val="00DD0A57"/>
    <w:rsid w:val="00DD128C"/>
    <w:rsid w:val="00E13806"/>
    <w:rsid w:val="00E13D71"/>
    <w:rsid w:val="00E212FD"/>
    <w:rsid w:val="00E703D2"/>
    <w:rsid w:val="00E81E14"/>
    <w:rsid w:val="00EA2874"/>
    <w:rsid w:val="00EB5FCE"/>
    <w:rsid w:val="00EC3287"/>
    <w:rsid w:val="00EF59B2"/>
    <w:rsid w:val="00F17651"/>
    <w:rsid w:val="00F54CF1"/>
    <w:rsid w:val="00F64A4E"/>
    <w:rsid w:val="00FA2C4D"/>
    <w:rsid w:val="00FF188F"/>
    <w:rsid w:val="00FF70F0"/>
    <w:rsid w:val="0B4AF91B"/>
    <w:rsid w:val="0E3B6CE5"/>
    <w:rsid w:val="0FD73D46"/>
    <w:rsid w:val="1DCC319C"/>
    <w:rsid w:val="234FA174"/>
    <w:rsid w:val="3005E192"/>
    <w:rsid w:val="42C8623F"/>
    <w:rsid w:val="448081B2"/>
    <w:rsid w:val="47CBE653"/>
    <w:rsid w:val="4AF19955"/>
    <w:rsid w:val="4F49E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971F4"/>
  <w15:chartTrackingRefBased/>
  <w15:docId w15:val="{D0A587F5-2406-4E34-A1EB-BC90CB48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19B3"/>
    <w:pPr>
      <w:spacing w:after="0" w:line="276" w:lineRule="auto"/>
    </w:pPr>
    <w:rPr>
      <w:rFonts w:ascii="Arial" w:hAnsi="Arial" w:eastAsia="Arial" w:cs="Arial"/>
      <w:lang w:val="e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19B3"/>
    <w:pPr>
      <w:ind w:left="720"/>
      <w:contextualSpacing/>
    </w:pPr>
  </w:style>
  <w:style w:type="paragraph" w:styleId="Default" w:customStyle="1">
    <w:name w:val="Default"/>
    <w:rsid w:val="003519B3"/>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9700E5"/>
    <w:pPr>
      <w:tabs>
        <w:tab w:val="center" w:pos="4680"/>
        <w:tab w:val="right" w:pos="9360"/>
      </w:tabs>
      <w:spacing w:line="240" w:lineRule="auto"/>
    </w:pPr>
  </w:style>
  <w:style w:type="character" w:styleId="HeaderChar" w:customStyle="1">
    <w:name w:val="Header Char"/>
    <w:basedOn w:val="DefaultParagraphFont"/>
    <w:link w:val="Header"/>
    <w:uiPriority w:val="99"/>
    <w:rsid w:val="009700E5"/>
    <w:rPr>
      <w:rFonts w:ascii="Arial" w:hAnsi="Arial" w:eastAsia="Arial" w:cs="Arial"/>
      <w:lang w:val="en"/>
    </w:rPr>
  </w:style>
  <w:style w:type="paragraph" w:styleId="Footer">
    <w:name w:val="footer"/>
    <w:basedOn w:val="Normal"/>
    <w:link w:val="FooterChar"/>
    <w:uiPriority w:val="99"/>
    <w:unhideWhenUsed/>
    <w:rsid w:val="009700E5"/>
    <w:pPr>
      <w:tabs>
        <w:tab w:val="center" w:pos="4680"/>
        <w:tab w:val="right" w:pos="9360"/>
      </w:tabs>
      <w:spacing w:line="240" w:lineRule="auto"/>
    </w:pPr>
  </w:style>
  <w:style w:type="character" w:styleId="FooterChar" w:customStyle="1">
    <w:name w:val="Footer Char"/>
    <w:basedOn w:val="DefaultParagraphFont"/>
    <w:link w:val="Footer"/>
    <w:uiPriority w:val="99"/>
    <w:rsid w:val="009700E5"/>
    <w:rPr>
      <w:rFonts w:ascii="Arial" w:hAnsi="Arial" w:eastAsia="Arial" w:cs="Arial"/>
      <w:lang w:val="en"/>
    </w:rPr>
  </w:style>
  <w:style w:type="paragraph" w:styleId="AOE-Header" w:customStyle="1">
    <w:name w:val="AOE - Header"/>
    <w:basedOn w:val="Normal"/>
    <w:link w:val="AOE-HeaderChar"/>
    <w:rsid w:val="009700E5"/>
    <w:pPr>
      <w:spacing w:line="240" w:lineRule="auto"/>
      <w:jc w:val="center"/>
    </w:pPr>
    <w:rPr>
      <w:rFonts w:ascii="Times New Roman" w:hAnsi="Times New Roman" w:eastAsia="Times New Roman" w:cs="Times New Roman"/>
      <w:noProof/>
      <w:sz w:val="20"/>
      <w:szCs w:val="20"/>
      <w:lang w:val="en-US"/>
    </w:rPr>
  </w:style>
  <w:style w:type="character" w:styleId="AOE-HeaderChar" w:customStyle="1">
    <w:name w:val="AOE - Header Char"/>
    <w:basedOn w:val="DefaultParagraphFont"/>
    <w:link w:val="AOE-Header"/>
    <w:rsid w:val="009700E5"/>
    <w:rPr>
      <w:rFonts w:ascii="Times New Roman" w:hAnsi="Times New Roman" w:eastAsia="Times New Roman" w:cs="Times New Roman"/>
      <w:noProof/>
      <w:sz w:val="20"/>
      <w:szCs w:val="20"/>
    </w:rPr>
  </w:style>
  <w:style w:type="paragraph" w:styleId="BalloonText">
    <w:name w:val="Balloon Text"/>
    <w:basedOn w:val="Normal"/>
    <w:link w:val="BalloonTextChar"/>
    <w:uiPriority w:val="99"/>
    <w:semiHidden/>
    <w:unhideWhenUsed/>
    <w:rsid w:val="009700E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700E5"/>
    <w:rPr>
      <w:rFonts w:ascii="Segoe UI" w:hAnsi="Segoe UI" w:eastAsia="Arial" w:cs="Segoe UI"/>
      <w:sz w:val="18"/>
      <w:szCs w:val="18"/>
      <w:lang w:val="en"/>
    </w:rPr>
  </w:style>
  <w:style w:type="character" w:styleId="Hyperlink">
    <w:name w:val="Hyperlink"/>
    <w:basedOn w:val="DefaultParagraphFont"/>
    <w:uiPriority w:val="99"/>
    <w:unhideWhenUsed/>
    <w:rsid w:val="009700E5"/>
    <w:rPr>
      <w:color w:val="0563C1" w:themeColor="hyperlink"/>
      <w:u w:val="single"/>
    </w:rPr>
  </w:style>
  <w:style w:type="table" w:styleId="TableGrid">
    <w:name w:val="Table Grid"/>
    <w:basedOn w:val="TableNormal"/>
    <w:uiPriority w:val="59"/>
    <w:rsid w:val="00970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5D784-7E41-4BF6-9BDB-5788007525AF}">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2.xml><?xml version="1.0" encoding="utf-8"?>
<ds:datastoreItem xmlns:ds="http://schemas.openxmlformats.org/officeDocument/2006/customXml" ds:itemID="{9D2E895A-1D48-48B6-A245-6F52F38B51DA}">
  <ds:schemaRefs>
    <ds:schemaRef ds:uri="http://schemas.microsoft.com/sharepoint/v3/contenttype/forms"/>
  </ds:schemaRefs>
</ds:datastoreItem>
</file>

<file path=customXml/itemProps3.xml><?xml version="1.0" encoding="utf-8"?>
<ds:datastoreItem xmlns:ds="http://schemas.openxmlformats.org/officeDocument/2006/customXml" ds:itemID="{7819144B-F973-40A7-8B2B-47878AE3A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Reilly, Terry</dc:creator>
  <keywords/>
  <dc:description/>
  <lastModifiedBy>Connizzo, Kate</lastModifiedBy>
  <revision>37</revision>
  <dcterms:created xsi:type="dcterms:W3CDTF">2024-09-09T20:33:00.0000000Z</dcterms:created>
  <dcterms:modified xsi:type="dcterms:W3CDTF">2024-09-18T18:48:39.9511754Z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