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95A" w:rsidRPr="00A6595A" w:rsidRDefault="00A6595A" w:rsidP="00AC2BBA">
      <w:bookmarkStart w:id="0" w:name="_GoBack"/>
      <w:bookmarkEnd w:id="0"/>
    </w:p>
    <w:p w:rsidR="00A6595A" w:rsidRPr="00A6595A" w:rsidRDefault="000D2859" w:rsidP="00C22FCB">
      <w:pPr>
        <w:pStyle w:val="Title"/>
      </w:pPr>
      <w:r>
        <w:t>Social Studies Performance Assessment</w:t>
      </w:r>
      <w:r w:rsidR="00DB7736">
        <w:t xml:space="preserve"> Template</w:t>
      </w:r>
      <w:r w:rsidR="00D5330C">
        <w:rPr>
          <w:rStyle w:val="FootnoteReference"/>
        </w:rPr>
        <w:footnoteReference w:id="1"/>
      </w:r>
    </w:p>
    <w:p w:rsidR="00B1458F" w:rsidRDefault="00DB7736" w:rsidP="00B1458F">
      <w:pPr>
        <w:widowControl w:val="0"/>
        <w:spacing w:line="276" w:lineRule="auto"/>
        <w:rPr>
          <w:rFonts w:eastAsia="Proxima Nova" w:cs="Proxima Nova"/>
          <w:highlight w:val="white"/>
        </w:rPr>
      </w:pPr>
      <w:r w:rsidRPr="00DB7736">
        <w:rPr>
          <w:rFonts w:eastAsia="Proxima Nova" w:cs="Proxima Nova"/>
          <w:highlight w:val="white"/>
        </w:rPr>
        <w:t xml:space="preserve">Performance assessments are a vital component of a local comprehensive assessment system. Performance assessments are any learning activity, investigation or task that asks students to </w:t>
      </w:r>
      <w:r w:rsidRPr="00DB7736">
        <w:rPr>
          <w:rFonts w:eastAsia="Proxima Nova" w:cs="Proxima Nova"/>
          <w:i/>
          <w:highlight w:val="white"/>
        </w:rPr>
        <w:t>perform,</w:t>
      </w:r>
      <w:r w:rsidRPr="00DB7736">
        <w:rPr>
          <w:rFonts w:eastAsia="Proxima Nova" w:cs="Proxima Nova"/>
          <w:highlight w:val="white"/>
        </w:rPr>
        <w:t xml:space="preserve"> to demonstrate their knowledge, understanding, and proficiency level. Performance assessments yield a tangible product and/or performance that serve as evidence of learning. A performance assessment presents a situation that calls for learners to apply their learning in context. </w:t>
      </w:r>
    </w:p>
    <w:p w:rsidR="00B1458F" w:rsidRDefault="00B1458F" w:rsidP="00B1458F">
      <w:pPr>
        <w:widowControl w:val="0"/>
        <w:spacing w:line="276" w:lineRule="auto"/>
        <w:rPr>
          <w:rFonts w:eastAsia="Proxima Nova" w:cs="Proxima Nova"/>
          <w:highlight w:val="white"/>
        </w:rPr>
      </w:pPr>
    </w:p>
    <w:p w:rsidR="005914F0" w:rsidRPr="005914F0" w:rsidRDefault="00EA055F" w:rsidP="00B1458F">
      <w:pPr>
        <w:widowControl w:val="0"/>
        <w:spacing w:line="276" w:lineRule="auto"/>
        <w:rPr>
          <w:rFonts w:eastAsia="Calibri"/>
          <w:b/>
          <w:sz w:val="20"/>
          <w:szCs w:val="20"/>
        </w:rPr>
      </w:pPr>
      <w:r>
        <w:rPr>
          <w:rFonts w:eastAsia="Proxima Nova" w:cs="Proxima Nova"/>
          <w:highlight w:val="white"/>
        </w:rPr>
        <w:t>A performance assessment could be student or teacher designed. Below is a template that can be used to construct performance assessments for social studies. The purpose of this template is to provide a structure for designing performance assessments using the tenets of backwards design, always keeping goals for student learning in mind.</w:t>
      </w:r>
      <w:r w:rsidR="00B1458F" w:rsidRPr="005914F0">
        <w:rPr>
          <w:rFonts w:eastAsia="Calibri"/>
          <w:b/>
          <w:sz w:val="20"/>
          <w:szCs w:val="20"/>
        </w:rPr>
        <w:t xml:space="preserve"> </w:t>
      </w:r>
    </w:p>
    <w:p w:rsidR="00B1458F" w:rsidRDefault="00B1458F">
      <w:r>
        <w:br w:type="page"/>
      </w:r>
    </w:p>
    <w:tbl>
      <w:tblPr>
        <w:tblW w:w="14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4515"/>
      </w:tblGrid>
      <w:tr w:rsidR="00DB7736" w:rsidRPr="00FD6310" w:rsidTr="008C4518">
        <w:trPr>
          <w:trHeight w:val="700"/>
        </w:trPr>
        <w:tc>
          <w:tcPr>
            <w:tcW w:w="14515" w:type="dxa"/>
            <w:shd w:val="clear" w:color="auto" w:fill="000000"/>
            <w:vAlign w:val="center"/>
          </w:tcPr>
          <w:p w:rsidR="00DB7736" w:rsidRPr="00FD6310" w:rsidRDefault="00DB7736" w:rsidP="008C4518">
            <w:pPr>
              <w:tabs>
                <w:tab w:val="left" w:pos="4230"/>
              </w:tabs>
              <w:rPr>
                <w:rFonts w:eastAsia="Calibri"/>
                <w:b/>
                <w:color w:val="FFFFFF"/>
                <w:sz w:val="20"/>
                <w:szCs w:val="20"/>
              </w:rPr>
            </w:pPr>
            <w:r w:rsidRPr="00FD6310">
              <w:rPr>
                <w:rFonts w:eastAsia="Calibri"/>
                <w:b/>
                <w:color w:val="FFFFFF"/>
                <w:sz w:val="20"/>
                <w:szCs w:val="20"/>
              </w:rPr>
              <w:lastRenderedPageBreak/>
              <w:t>Introduction/Overview</w:t>
            </w:r>
          </w:p>
        </w:tc>
      </w:tr>
      <w:tr w:rsidR="00DB7736" w:rsidRPr="00FD6310" w:rsidTr="008C4518">
        <w:trPr>
          <w:trHeight w:val="1620"/>
        </w:trPr>
        <w:tc>
          <w:tcPr>
            <w:tcW w:w="14515" w:type="dxa"/>
          </w:tcPr>
          <w:p w:rsidR="00DB7736" w:rsidRPr="00FD6310" w:rsidRDefault="00DB7736" w:rsidP="008C4518">
            <w:pPr>
              <w:rPr>
                <w:rFonts w:eastAsia="Calibri"/>
                <w:b/>
                <w:sz w:val="20"/>
                <w:szCs w:val="20"/>
              </w:rPr>
            </w:pPr>
            <w:r w:rsidRPr="00FD6310">
              <w:rPr>
                <w:rFonts w:eastAsia="Calibri"/>
                <w:b/>
                <w:sz w:val="20"/>
                <w:szCs w:val="20"/>
              </w:rPr>
              <w:t>Title:</w:t>
            </w:r>
          </w:p>
          <w:p w:rsidR="00DB7736" w:rsidRPr="00FD6310" w:rsidRDefault="00DB7736" w:rsidP="008C4518">
            <w:pPr>
              <w:rPr>
                <w:rFonts w:eastAsia="Calibri"/>
                <w:b/>
                <w:sz w:val="20"/>
                <w:szCs w:val="20"/>
              </w:rPr>
            </w:pPr>
          </w:p>
          <w:p w:rsidR="00DB7736" w:rsidRPr="00FD6310" w:rsidRDefault="000D2859" w:rsidP="008C4518">
            <w:pPr>
              <w:rPr>
                <w:rFonts w:eastAsia="Calibri"/>
                <w:sz w:val="20"/>
                <w:szCs w:val="20"/>
              </w:rPr>
            </w:pPr>
            <w:r>
              <w:rPr>
                <w:rFonts w:eastAsia="Calibri"/>
                <w:b/>
                <w:sz w:val="20"/>
                <w:szCs w:val="20"/>
              </w:rPr>
              <w:t>Content Areas(s)</w:t>
            </w:r>
            <w:r w:rsidR="00DB7736" w:rsidRPr="00FD6310">
              <w:rPr>
                <w:rFonts w:eastAsia="Calibri"/>
                <w:b/>
                <w:sz w:val="20"/>
                <w:szCs w:val="20"/>
              </w:rPr>
              <w:t>:</w:t>
            </w:r>
          </w:p>
          <w:p w:rsidR="00DB7736" w:rsidRPr="00FD6310" w:rsidRDefault="00DB7736" w:rsidP="008C4518">
            <w:pPr>
              <w:rPr>
                <w:rFonts w:eastAsia="Calibri"/>
                <w:sz w:val="20"/>
                <w:szCs w:val="20"/>
              </w:rPr>
            </w:pPr>
          </w:p>
          <w:p w:rsidR="00DB7736" w:rsidRPr="00FD6310" w:rsidRDefault="00DB7736" w:rsidP="008C4518">
            <w:pPr>
              <w:rPr>
                <w:rFonts w:eastAsia="Calibri"/>
                <w:sz w:val="20"/>
                <w:szCs w:val="20"/>
              </w:rPr>
            </w:pPr>
            <w:r w:rsidRPr="00FD6310">
              <w:rPr>
                <w:rFonts w:eastAsia="Calibri"/>
                <w:b/>
                <w:sz w:val="20"/>
                <w:szCs w:val="20"/>
              </w:rPr>
              <w:t>Grade/Course:</w:t>
            </w:r>
            <w:r w:rsidRPr="00FD6310">
              <w:rPr>
                <w:rFonts w:eastAsia="Calibri"/>
                <w:sz w:val="20"/>
                <w:szCs w:val="20"/>
              </w:rPr>
              <w:t xml:space="preserve"> </w:t>
            </w:r>
          </w:p>
          <w:p w:rsidR="00DB7736" w:rsidRPr="00FD6310" w:rsidRDefault="00DB7736" w:rsidP="008C4518">
            <w:pPr>
              <w:rPr>
                <w:rFonts w:eastAsia="Calibri"/>
                <w:b/>
                <w:sz w:val="20"/>
                <w:szCs w:val="20"/>
              </w:rPr>
            </w:pPr>
          </w:p>
          <w:p w:rsidR="00DB7736" w:rsidRPr="00FD6310" w:rsidRDefault="000D2859" w:rsidP="008C4518">
            <w:pPr>
              <w:rPr>
                <w:rFonts w:eastAsia="Calibri"/>
                <w:sz w:val="20"/>
                <w:szCs w:val="20"/>
              </w:rPr>
            </w:pPr>
            <w:r>
              <w:rPr>
                <w:rFonts w:eastAsia="Calibri"/>
                <w:b/>
                <w:sz w:val="20"/>
                <w:szCs w:val="20"/>
              </w:rPr>
              <w:t>Standards/</w:t>
            </w:r>
            <w:r w:rsidR="00DB7736" w:rsidRPr="00FD6310">
              <w:rPr>
                <w:rFonts w:eastAsia="Calibri"/>
                <w:b/>
                <w:sz w:val="20"/>
                <w:szCs w:val="20"/>
              </w:rPr>
              <w:t xml:space="preserve">Proficiencies Assessed </w:t>
            </w:r>
            <w:r w:rsidR="00DB7736" w:rsidRPr="00FD6310">
              <w:rPr>
                <w:rFonts w:eastAsia="Calibri"/>
                <w:sz w:val="20"/>
                <w:szCs w:val="20"/>
              </w:rPr>
              <w:t xml:space="preserve">(Academic </w:t>
            </w:r>
            <w:r w:rsidR="00D5330C">
              <w:rPr>
                <w:rFonts w:eastAsia="Calibri"/>
                <w:sz w:val="20"/>
                <w:szCs w:val="20"/>
              </w:rPr>
              <w:t>and</w:t>
            </w:r>
            <w:r w:rsidR="00DB7736" w:rsidRPr="00FD6310">
              <w:rPr>
                <w:rFonts w:eastAsia="Calibri"/>
                <w:sz w:val="20"/>
                <w:szCs w:val="20"/>
              </w:rPr>
              <w:t xml:space="preserve"> Transferable Skills)</w:t>
            </w:r>
            <w:r w:rsidR="00DB7736" w:rsidRPr="00FD6310">
              <w:rPr>
                <w:rFonts w:eastAsia="Calibri"/>
                <w:b/>
                <w:sz w:val="20"/>
                <w:szCs w:val="20"/>
              </w:rPr>
              <w:t xml:space="preserve">: </w:t>
            </w:r>
          </w:p>
          <w:p w:rsidR="00DB7736" w:rsidRPr="00FD6310" w:rsidRDefault="00DB7736" w:rsidP="008C4518">
            <w:pPr>
              <w:rPr>
                <w:rFonts w:eastAsia="Calibri"/>
                <w:sz w:val="20"/>
                <w:szCs w:val="20"/>
              </w:rPr>
            </w:pPr>
          </w:p>
          <w:p w:rsidR="00DB7736" w:rsidRPr="00FD6310" w:rsidRDefault="00DB7736" w:rsidP="008C4518">
            <w:pPr>
              <w:rPr>
                <w:rFonts w:eastAsia="Calibri"/>
                <w:b/>
                <w:sz w:val="20"/>
                <w:szCs w:val="20"/>
              </w:rPr>
            </w:pPr>
            <w:r w:rsidRPr="00FD6310">
              <w:rPr>
                <w:rFonts w:eastAsia="Calibri"/>
                <w:b/>
                <w:sz w:val="20"/>
                <w:szCs w:val="20"/>
              </w:rPr>
              <w:t>Performance Assessment Description:</w:t>
            </w:r>
          </w:p>
          <w:p w:rsidR="00DB7736" w:rsidRPr="00FD6310" w:rsidRDefault="00DB7736" w:rsidP="008C4518">
            <w:pPr>
              <w:spacing w:before="360"/>
              <w:rPr>
                <w:rFonts w:eastAsia="Calibri"/>
                <w:sz w:val="20"/>
                <w:szCs w:val="20"/>
              </w:rPr>
            </w:pPr>
            <w:r w:rsidRPr="00FD6310">
              <w:rPr>
                <w:rFonts w:eastAsia="Calibri"/>
                <w:sz w:val="20"/>
                <w:szCs w:val="20"/>
              </w:rPr>
              <w:t xml:space="preserve"> </w:t>
            </w:r>
          </w:p>
          <w:p w:rsidR="00DB7736" w:rsidRPr="00FD6310" w:rsidRDefault="00DB7736" w:rsidP="008C4518">
            <w:pPr>
              <w:rPr>
                <w:rFonts w:eastAsia="Calibri"/>
                <w:b/>
                <w:sz w:val="20"/>
                <w:szCs w:val="20"/>
              </w:rPr>
            </w:pPr>
            <w:r w:rsidRPr="00FD6310">
              <w:rPr>
                <w:rFonts w:eastAsia="Calibri"/>
                <w:b/>
                <w:sz w:val="20"/>
                <w:szCs w:val="20"/>
              </w:rPr>
              <w:t xml:space="preserve">Estimated Time for Teaching and Assessment: </w:t>
            </w:r>
          </w:p>
          <w:p w:rsidR="00DB7736" w:rsidRDefault="00DB7736" w:rsidP="008C4518">
            <w:pPr>
              <w:rPr>
                <w:rFonts w:eastAsia="Calibri"/>
                <w:sz w:val="20"/>
                <w:szCs w:val="20"/>
              </w:rPr>
            </w:pPr>
            <w:r w:rsidRPr="00FD6310">
              <w:rPr>
                <w:rFonts w:ascii="Segoe UI Symbol" w:eastAsia="Calibri" w:hAnsi="Segoe UI Symbol" w:cs="Segoe UI Symbol"/>
                <w:sz w:val="20"/>
                <w:szCs w:val="20"/>
              </w:rPr>
              <w:t>☐</w:t>
            </w:r>
            <w:r w:rsidRPr="00FD6310">
              <w:rPr>
                <w:rFonts w:eastAsia="Calibri"/>
                <w:sz w:val="20"/>
                <w:szCs w:val="20"/>
              </w:rPr>
              <w:t xml:space="preserve"> Approximately _____</w:t>
            </w:r>
          </w:p>
          <w:p w:rsidR="00EE5E11" w:rsidRPr="00FD6310" w:rsidRDefault="00EE5E11" w:rsidP="008C4518">
            <w:pPr>
              <w:rPr>
                <w:rFonts w:eastAsia="Calibri"/>
                <w:sz w:val="20"/>
                <w:szCs w:val="20"/>
              </w:rPr>
            </w:pPr>
          </w:p>
        </w:tc>
      </w:tr>
    </w:tbl>
    <w:p w:rsidR="00DB7736" w:rsidRDefault="00DB7736" w:rsidP="00DB7736"/>
    <w:p w:rsidR="00DB7736" w:rsidRDefault="00DB7736">
      <w:r>
        <w:br w:type="page"/>
      </w:r>
    </w:p>
    <w:tbl>
      <w:tblPr>
        <w:tblW w:w="14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4515"/>
      </w:tblGrid>
      <w:tr w:rsidR="00DB7736" w:rsidRPr="00FD6310" w:rsidTr="008C4518">
        <w:trPr>
          <w:trHeight w:val="480"/>
        </w:trPr>
        <w:tc>
          <w:tcPr>
            <w:tcW w:w="14515" w:type="dxa"/>
            <w:shd w:val="clear" w:color="auto" w:fill="000000"/>
            <w:vAlign w:val="center"/>
          </w:tcPr>
          <w:p w:rsidR="00DB7736" w:rsidRPr="00FD6310" w:rsidRDefault="00DB7736" w:rsidP="008C4518">
            <w:pPr>
              <w:rPr>
                <w:rFonts w:eastAsia="Calibri"/>
                <w:b/>
                <w:color w:val="FFFFFF"/>
                <w:sz w:val="20"/>
                <w:szCs w:val="20"/>
              </w:rPr>
            </w:pPr>
            <w:r w:rsidRPr="00FD6310">
              <w:rPr>
                <w:rFonts w:eastAsia="Calibri"/>
                <w:b/>
                <w:color w:val="FFFFFF"/>
                <w:sz w:val="20"/>
                <w:szCs w:val="20"/>
              </w:rPr>
              <w:lastRenderedPageBreak/>
              <w:t>Assessment Plan</w:t>
            </w:r>
          </w:p>
        </w:tc>
      </w:tr>
      <w:tr w:rsidR="00DB7736" w:rsidRPr="00FD6310" w:rsidTr="008C4518">
        <w:tc>
          <w:tcPr>
            <w:tcW w:w="14515" w:type="dxa"/>
            <w:vAlign w:val="center"/>
          </w:tcPr>
          <w:p w:rsidR="00DB7736" w:rsidRPr="000D2859" w:rsidRDefault="000D2859" w:rsidP="008C4518">
            <w:pPr>
              <w:widowControl w:val="0"/>
              <w:rPr>
                <w:rFonts w:eastAsia="Calibri"/>
                <w:i/>
                <w:sz w:val="20"/>
                <w:szCs w:val="20"/>
              </w:rPr>
            </w:pPr>
            <w:r>
              <w:rPr>
                <w:rFonts w:eastAsia="Calibri"/>
                <w:b/>
                <w:sz w:val="20"/>
                <w:szCs w:val="20"/>
              </w:rPr>
              <w:t xml:space="preserve">Compelling Question </w:t>
            </w:r>
            <w:r>
              <w:rPr>
                <w:rFonts w:eastAsia="Calibri"/>
                <w:i/>
                <w:sz w:val="20"/>
                <w:szCs w:val="20"/>
              </w:rPr>
              <w:t>(Sets a frame for inquiry):</w:t>
            </w:r>
          </w:p>
          <w:p w:rsidR="00DB7736" w:rsidRPr="00FD6310" w:rsidRDefault="00DB7736" w:rsidP="008C4518">
            <w:pPr>
              <w:tabs>
                <w:tab w:val="left" w:pos="360"/>
              </w:tabs>
              <w:ind w:left="360"/>
              <w:rPr>
                <w:rFonts w:eastAsia="Calibri"/>
                <w:sz w:val="20"/>
                <w:szCs w:val="20"/>
              </w:rPr>
            </w:pPr>
          </w:p>
          <w:p w:rsidR="00DB7736" w:rsidRPr="00FD6310" w:rsidRDefault="00DB7736" w:rsidP="008C4518">
            <w:pPr>
              <w:tabs>
                <w:tab w:val="left" w:pos="360"/>
              </w:tabs>
              <w:ind w:left="360"/>
              <w:rPr>
                <w:rFonts w:eastAsia="Calibri"/>
                <w:sz w:val="20"/>
                <w:szCs w:val="20"/>
              </w:rPr>
            </w:pPr>
          </w:p>
        </w:tc>
      </w:tr>
      <w:tr w:rsidR="000D2859" w:rsidRPr="00FD6310" w:rsidTr="008C4518">
        <w:tc>
          <w:tcPr>
            <w:tcW w:w="14515" w:type="dxa"/>
          </w:tcPr>
          <w:p w:rsidR="000D2859" w:rsidRPr="00FD6310" w:rsidRDefault="000D2859" w:rsidP="000D2859">
            <w:pPr>
              <w:rPr>
                <w:rFonts w:eastAsia="Calibri"/>
                <w:i/>
                <w:sz w:val="20"/>
                <w:szCs w:val="20"/>
              </w:rPr>
            </w:pPr>
            <w:r>
              <w:rPr>
                <w:rFonts w:eastAsia="Calibri"/>
                <w:b/>
                <w:sz w:val="20"/>
                <w:szCs w:val="20"/>
              </w:rPr>
              <w:t>Supporting Questions</w:t>
            </w:r>
            <w:r w:rsidRPr="00FD6310">
              <w:rPr>
                <w:rFonts w:eastAsia="Calibri"/>
                <w:b/>
                <w:i/>
                <w:sz w:val="20"/>
                <w:szCs w:val="20"/>
              </w:rPr>
              <w:t xml:space="preserve"> </w:t>
            </w:r>
            <w:r w:rsidRPr="00FD6310">
              <w:rPr>
                <w:rFonts w:eastAsia="Calibri"/>
                <w:i/>
                <w:sz w:val="20"/>
                <w:szCs w:val="20"/>
              </w:rPr>
              <w:t>(</w:t>
            </w:r>
            <w:r>
              <w:rPr>
                <w:rFonts w:eastAsia="Calibri"/>
                <w:i/>
                <w:sz w:val="20"/>
                <w:szCs w:val="20"/>
              </w:rPr>
              <w:t>Supports and extends the compelling question</w:t>
            </w:r>
            <w:r w:rsidRPr="00FD6310">
              <w:rPr>
                <w:rFonts w:eastAsia="Calibri"/>
                <w:i/>
                <w:sz w:val="20"/>
                <w:szCs w:val="20"/>
              </w:rPr>
              <w:t xml:space="preserve">): </w:t>
            </w:r>
          </w:p>
          <w:p w:rsidR="000D2859" w:rsidRPr="00FD6310" w:rsidRDefault="000D2859" w:rsidP="008C4518">
            <w:pPr>
              <w:rPr>
                <w:rFonts w:eastAsia="Calibri"/>
                <w:b/>
                <w:sz w:val="20"/>
                <w:szCs w:val="20"/>
              </w:rPr>
            </w:pPr>
          </w:p>
        </w:tc>
      </w:tr>
      <w:tr w:rsidR="00DB7736" w:rsidRPr="00FD6310" w:rsidTr="008C4518">
        <w:tc>
          <w:tcPr>
            <w:tcW w:w="14515" w:type="dxa"/>
          </w:tcPr>
          <w:p w:rsidR="00DB7736" w:rsidRPr="00FD6310" w:rsidRDefault="00DB7736" w:rsidP="008C4518">
            <w:pPr>
              <w:rPr>
                <w:rFonts w:eastAsia="Calibri"/>
                <w:i/>
                <w:sz w:val="20"/>
                <w:szCs w:val="20"/>
              </w:rPr>
            </w:pPr>
            <w:r w:rsidRPr="00FD6310">
              <w:rPr>
                <w:rFonts w:eastAsia="Calibri"/>
                <w:b/>
                <w:sz w:val="20"/>
                <w:szCs w:val="20"/>
              </w:rPr>
              <w:t>Learning Targets</w:t>
            </w:r>
            <w:r w:rsidRPr="00FD6310">
              <w:rPr>
                <w:rFonts w:eastAsia="Calibri"/>
                <w:b/>
                <w:i/>
                <w:sz w:val="20"/>
                <w:szCs w:val="20"/>
              </w:rPr>
              <w:t xml:space="preserve"> </w:t>
            </w:r>
            <w:r w:rsidRPr="00FD6310">
              <w:rPr>
                <w:rFonts w:eastAsia="Calibri"/>
                <w:i/>
                <w:sz w:val="20"/>
                <w:szCs w:val="20"/>
              </w:rPr>
              <w:t xml:space="preserve">(Knowledge, Understanding, and Skills): </w:t>
            </w:r>
          </w:p>
          <w:p w:rsidR="00DB7736" w:rsidRPr="00FD6310" w:rsidRDefault="00DB7736" w:rsidP="008C4518">
            <w:pPr>
              <w:spacing w:before="60"/>
              <w:rPr>
                <w:rFonts w:eastAsia="Calibri"/>
                <w:sz w:val="20"/>
                <w:szCs w:val="20"/>
              </w:rPr>
            </w:pPr>
          </w:p>
          <w:p w:rsidR="00DB7736" w:rsidRPr="00FD6310" w:rsidRDefault="00DB7736" w:rsidP="008C4518">
            <w:pPr>
              <w:ind w:left="720"/>
              <w:rPr>
                <w:rFonts w:eastAsia="Calibri"/>
                <w:b/>
                <w:sz w:val="20"/>
                <w:szCs w:val="20"/>
              </w:rPr>
            </w:pPr>
          </w:p>
        </w:tc>
      </w:tr>
      <w:tr w:rsidR="00DB7736" w:rsidRPr="00FD6310" w:rsidTr="008C4518">
        <w:trPr>
          <w:trHeight w:val="220"/>
        </w:trPr>
        <w:tc>
          <w:tcPr>
            <w:tcW w:w="14515" w:type="dxa"/>
          </w:tcPr>
          <w:p w:rsidR="00DB7736" w:rsidRPr="00FD6310" w:rsidRDefault="00DB7736" w:rsidP="008C4518">
            <w:pPr>
              <w:spacing w:before="60"/>
              <w:rPr>
                <w:rFonts w:eastAsia="Calibri"/>
                <w:b/>
                <w:sz w:val="20"/>
                <w:szCs w:val="20"/>
              </w:rPr>
            </w:pPr>
            <w:r w:rsidRPr="00FD6310">
              <w:rPr>
                <w:rFonts w:eastAsia="Calibri"/>
                <w:b/>
                <w:sz w:val="20"/>
                <w:szCs w:val="20"/>
              </w:rPr>
              <w:t>What lesson sequence will lead up to this performance assessment?</w:t>
            </w:r>
          </w:p>
          <w:p w:rsidR="00DB7736" w:rsidRPr="00FD6310" w:rsidRDefault="00DB7736" w:rsidP="008C4518">
            <w:pPr>
              <w:tabs>
                <w:tab w:val="left" w:pos="360"/>
              </w:tabs>
              <w:rPr>
                <w:rFonts w:eastAsia="Calibri"/>
                <w:sz w:val="20"/>
                <w:szCs w:val="20"/>
              </w:rPr>
            </w:pPr>
          </w:p>
          <w:p w:rsidR="00DB7736" w:rsidRPr="00FD6310" w:rsidRDefault="00DB7736" w:rsidP="008C4518">
            <w:pPr>
              <w:rPr>
                <w:rFonts w:eastAsia="Calibri"/>
                <w:b/>
                <w:sz w:val="20"/>
                <w:szCs w:val="20"/>
              </w:rPr>
            </w:pPr>
          </w:p>
        </w:tc>
      </w:tr>
      <w:tr w:rsidR="00DB7736" w:rsidRPr="00FD6310" w:rsidTr="008C4518">
        <w:trPr>
          <w:trHeight w:val="420"/>
        </w:trPr>
        <w:tc>
          <w:tcPr>
            <w:tcW w:w="14515" w:type="dxa"/>
            <w:shd w:val="clear" w:color="auto" w:fill="auto"/>
            <w:tcMar>
              <w:top w:w="100" w:type="dxa"/>
              <w:left w:w="100" w:type="dxa"/>
              <w:bottom w:w="100" w:type="dxa"/>
              <w:right w:w="100" w:type="dxa"/>
            </w:tcMar>
          </w:tcPr>
          <w:p w:rsidR="00DB7736" w:rsidRPr="00FD6310" w:rsidRDefault="00DB7736" w:rsidP="008C4518">
            <w:pPr>
              <w:spacing w:before="60"/>
              <w:rPr>
                <w:rFonts w:eastAsia="Calibri"/>
                <w:i/>
                <w:sz w:val="20"/>
                <w:szCs w:val="20"/>
              </w:rPr>
            </w:pPr>
            <w:r w:rsidRPr="00FD6310">
              <w:rPr>
                <w:rFonts w:eastAsia="Calibri"/>
                <w:b/>
                <w:sz w:val="20"/>
                <w:szCs w:val="20"/>
              </w:rPr>
              <w:t xml:space="preserve">Resources </w:t>
            </w:r>
            <w:r w:rsidR="000D2859">
              <w:rPr>
                <w:rFonts w:eastAsia="Calibri"/>
                <w:b/>
                <w:sz w:val="20"/>
                <w:szCs w:val="20"/>
              </w:rPr>
              <w:t>and</w:t>
            </w:r>
            <w:r w:rsidRPr="00FD6310">
              <w:rPr>
                <w:rFonts w:eastAsia="Calibri"/>
                <w:b/>
                <w:sz w:val="20"/>
                <w:szCs w:val="20"/>
              </w:rPr>
              <w:t xml:space="preserve"> Materials </w:t>
            </w:r>
            <w:r w:rsidRPr="00FD6310">
              <w:rPr>
                <w:rFonts w:eastAsia="Calibri"/>
                <w:i/>
                <w:sz w:val="20"/>
                <w:szCs w:val="20"/>
              </w:rPr>
              <w:t>(texts, graphic organizers, and links for task implementation)</w:t>
            </w:r>
            <w:r w:rsidR="007A0E4A">
              <w:rPr>
                <w:rFonts w:eastAsia="Calibri"/>
                <w:i/>
                <w:sz w:val="20"/>
                <w:szCs w:val="20"/>
              </w:rPr>
              <w:t>:</w:t>
            </w:r>
          </w:p>
          <w:p w:rsidR="00DB7736" w:rsidRPr="00FD6310" w:rsidRDefault="00DB7736" w:rsidP="008C4518">
            <w:pPr>
              <w:spacing w:before="60"/>
              <w:rPr>
                <w:rFonts w:eastAsia="Calibri"/>
                <w:i/>
                <w:sz w:val="20"/>
                <w:szCs w:val="20"/>
              </w:rPr>
            </w:pPr>
          </w:p>
        </w:tc>
      </w:tr>
      <w:tr w:rsidR="00DB7736" w:rsidRPr="00FD6310" w:rsidTr="008C4518">
        <w:trPr>
          <w:trHeight w:val="220"/>
        </w:trPr>
        <w:tc>
          <w:tcPr>
            <w:tcW w:w="14515" w:type="dxa"/>
          </w:tcPr>
          <w:p w:rsidR="00DB7736" w:rsidRPr="00FD6310" w:rsidRDefault="00DB7736" w:rsidP="008C4518">
            <w:pPr>
              <w:spacing w:before="60"/>
              <w:rPr>
                <w:rFonts w:eastAsia="Calibri"/>
                <w:i/>
                <w:sz w:val="20"/>
                <w:szCs w:val="20"/>
              </w:rPr>
            </w:pPr>
            <w:r w:rsidRPr="00FD6310">
              <w:rPr>
                <w:rFonts w:eastAsia="Calibri"/>
                <w:b/>
                <w:sz w:val="20"/>
                <w:szCs w:val="20"/>
              </w:rPr>
              <w:t xml:space="preserve">Assessment Tools </w:t>
            </w:r>
            <w:r w:rsidRPr="00FD6310">
              <w:rPr>
                <w:rFonts w:eastAsia="Calibri"/>
                <w:i/>
                <w:sz w:val="20"/>
                <w:szCs w:val="20"/>
              </w:rPr>
              <w:t xml:space="preserve">(rubrics, checklists, rating scales, benchmarks of exemplary work etc.): </w:t>
            </w:r>
          </w:p>
          <w:p w:rsidR="00DB7736" w:rsidRPr="00FD6310" w:rsidRDefault="00DB7736" w:rsidP="008C4518">
            <w:pPr>
              <w:rPr>
                <w:rFonts w:eastAsia="Calibri"/>
                <w:b/>
                <w:sz w:val="20"/>
                <w:szCs w:val="20"/>
              </w:rPr>
            </w:pPr>
          </w:p>
          <w:p w:rsidR="00DB7736" w:rsidRPr="00FD6310" w:rsidRDefault="00DB7736" w:rsidP="008C4518">
            <w:pPr>
              <w:rPr>
                <w:rFonts w:eastAsia="Calibri"/>
                <w:b/>
                <w:sz w:val="20"/>
                <w:szCs w:val="20"/>
              </w:rPr>
            </w:pPr>
          </w:p>
        </w:tc>
      </w:tr>
      <w:tr w:rsidR="00D45248" w:rsidRPr="00FD6310" w:rsidTr="008C4518">
        <w:trPr>
          <w:trHeight w:val="220"/>
        </w:trPr>
        <w:tc>
          <w:tcPr>
            <w:tcW w:w="14515" w:type="dxa"/>
          </w:tcPr>
          <w:p w:rsidR="00D45248" w:rsidRPr="00D45248" w:rsidRDefault="00D45248" w:rsidP="008C4518">
            <w:pPr>
              <w:spacing w:before="60"/>
              <w:rPr>
                <w:rFonts w:eastAsia="Calibri"/>
                <w:b/>
                <w:sz w:val="20"/>
                <w:szCs w:val="20"/>
              </w:rPr>
            </w:pPr>
            <w:r w:rsidRPr="00D45248">
              <w:rPr>
                <w:b/>
                <w:bCs w:val="0"/>
                <w:color w:val="000000"/>
                <w:sz w:val="20"/>
                <w:szCs w:val="20"/>
              </w:rPr>
              <w:t>OR</w:t>
            </w:r>
            <w:r w:rsidRPr="00D45248">
              <w:rPr>
                <w:color w:val="000000"/>
                <w:sz w:val="20"/>
                <w:szCs w:val="20"/>
              </w:rPr>
              <w:t xml:space="preserve"> Teachers may cho</w:t>
            </w:r>
            <w:r>
              <w:rPr>
                <w:color w:val="000000"/>
                <w:sz w:val="20"/>
                <w:szCs w:val="20"/>
              </w:rPr>
              <w:t>o</w:t>
            </w:r>
            <w:r w:rsidRPr="00D45248">
              <w:rPr>
                <w:color w:val="000000"/>
                <w:sz w:val="20"/>
                <w:szCs w:val="20"/>
              </w:rPr>
              <w:t xml:space="preserve">se to use the </w:t>
            </w:r>
            <w:hyperlink r:id="rId8" w:history="1">
              <w:r w:rsidRPr="00B1458F">
                <w:rPr>
                  <w:rStyle w:val="Hyperlink"/>
                  <w:rFonts w:cs="Calibri"/>
                  <w:sz w:val="20"/>
                  <w:szCs w:val="20"/>
                </w:rPr>
                <w:t>C3 Inquiry Design Model Template</w:t>
              </w:r>
            </w:hyperlink>
            <w:r w:rsidR="00B1458F">
              <w:rPr>
                <w:sz w:val="20"/>
                <w:szCs w:val="20"/>
              </w:rPr>
              <w:t>.</w:t>
            </w:r>
          </w:p>
          <w:p w:rsidR="00D45248" w:rsidRPr="00FD6310" w:rsidRDefault="00D45248" w:rsidP="008C4518">
            <w:pPr>
              <w:spacing w:before="60"/>
              <w:rPr>
                <w:rFonts w:eastAsia="Calibri"/>
                <w:b/>
                <w:sz w:val="20"/>
                <w:szCs w:val="20"/>
              </w:rPr>
            </w:pPr>
          </w:p>
        </w:tc>
      </w:tr>
    </w:tbl>
    <w:p w:rsidR="00DB7736" w:rsidRDefault="00DB7736" w:rsidP="00DB7736">
      <w:pPr>
        <w:rPr>
          <w:rFonts w:ascii="Calibri" w:eastAsia="Calibri" w:hAnsi="Calibri"/>
        </w:rPr>
      </w:pPr>
    </w:p>
    <w:p w:rsidR="00DB7736" w:rsidRDefault="00DB7736">
      <w:r>
        <w:br w:type="page"/>
      </w:r>
    </w:p>
    <w:tbl>
      <w:tblPr>
        <w:tblW w:w="14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4535"/>
      </w:tblGrid>
      <w:tr w:rsidR="00DB7736" w:rsidRPr="00FD6310" w:rsidTr="008C4518">
        <w:trPr>
          <w:trHeight w:val="300"/>
        </w:trPr>
        <w:tc>
          <w:tcPr>
            <w:tcW w:w="14535" w:type="dxa"/>
            <w:shd w:val="clear" w:color="auto" w:fill="000000"/>
          </w:tcPr>
          <w:p w:rsidR="00DB7736" w:rsidRPr="00FD6310" w:rsidRDefault="00DB7736" w:rsidP="008C4518">
            <w:pPr>
              <w:spacing w:before="60"/>
              <w:rPr>
                <w:rFonts w:eastAsia="Calibri"/>
                <w:b/>
                <w:color w:val="FFFFFF"/>
                <w:sz w:val="20"/>
                <w:szCs w:val="20"/>
              </w:rPr>
            </w:pPr>
            <w:r w:rsidRPr="00FD6310">
              <w:rPr>
                <w:rFonts w:eastAsia="Calibri"/>
                <w:b/>
                <w:color w:val="FFFFFF"/>
                <w:sz w:val="20"/>
                <w:szCs w:val="20"/>
              </w:rPr>
              <w:lastRenderedPageBreak/>
              <w:t>Instructional Strategies</w:t>
            </w:r>
          </w:p>
        </w:tc>
      </w:tr>
      <w:tr w:rsidR="00DB7736" w:rsidRPr="00FD6310" w:rsidTr="008C4518">
        <w:trPr>
          <w:trHeight w:val="1280"/>
        </w:trPr>
        <w:tc>
          <w:tcPr>
            <w:tcW w:w="14535" w:type="dxa"/>
          </w:tcPr>
          <w:p w:rsidR="00DB7736" w:rsidRPr="00FD6310" w:rsidRDefault="00DB7736" w:rsidP="008C4518">
            <w:pPr>
              <w:spacing w:before="60"/>
              <w:rPr>
                <w:rFonts w:eastAsia="Calibri"/>
                <w:i/>
                <w:sz w:val="20"/>
                <w:szCs w:val="20"/>
              </w:rPr>
            </w:pPr>
            <w:r w:rsidRPr="00FD6310">
              <w:rPr>
                <w:rFonts w:eastAsia="Calibri"/>
                <w:b/>
                <w:sz w:val="20"/>
                <w:szCs w:val="20"/>
              </w:rPr>
              <w:t xml:space="preserve">Strategies for Equity </w:t>
            </w:r>
            <w:r w:rsidRPr="00FD6310">
              <w:rPr>
                <w:rFonts w:eastAsia="Calibri"/>
                <w:i/>
                <w:sz w:val="20"/>
                <w:szCs w:val="20"/>
              </w:rPr>
              <w:t>(Instructional approaches that respond to individual student needs and strengths to maximize equitable student learning and success.)</w:t>
            </w:r>
          </w:p>
          <w:p w:rsidR="00DB7736" w:rsidRPr="00FD6310" w:rsidRDefault="00DB7736" w:rsidP="00DB7736">
            <w:pPr>
              <w:numPr>
                <w:ilvl w:val="0"/>
                <w:numId w:val="26"/>
              </w:numPr>
              <w:spacing w:before="60"/>
              <w:rPr>
                <w:rFonts w:eastAsia="Calibri"/>
                <w:sz w:val="20"/>
                <w:szCs w:val="20"/>
              </w:rPr>
            </w:pPr>
            <w:r w:rsidRPr="00FD6310">
              <w:rPr>
                <w:rFonts w:eastAsia="Calibri"/>
                <w:sz w:val="20"/>
                <w:szCs w:val="20"/>
              </w:rPr>
              <w:t xml:space="preserve">Asking questions about, “Who tells the stories? Who doesn’t tell the stories? Who is in the stories? Who isn’t in the stories? Who benefits from the stories?” and considering how stories told by the victors are perceived as “correct.” See </w:t>
            </w:r>
            <w:hyperlink r:id="rId9" w:history="1">
              <w:r w:rsidRPr="00B1458F">
                <w:rPr>
                  <w:rStyle w:val="Hyperlink"/>
                  <w:rFonts w:eastAsia="Calibri" w:cs="Calibri"/>
                  <w:sz w:val="20"/>
                  <w:szCs w:val="20"/>
                </w:rPr>
                <w:t>Jodi Kantor’s visual</w:t>
              </w:r>
            </w:hyperlink>
            <w:r w:rsidRPr="00FD6310">
              <w:rPr>
                <w:rFonts w:eastAsia="Calibri"/>
                <w:sz w:val="20"/>
                <w:szCs w:val="20"/>
              </w:rPr>
              <w:t xml:space="preserve">. </w:t>
            </w:r>
          </w:p>
          <w:p w:rsidR="00DB7736" w:rsidRPr="00FD6310" w:rsidRDefault="00DB7736" w:rsidP="00DB7736">
            <w:pPr>
              <w:numPr>
                <w:ilvl w:val="0"/>
                <w:numId w:val="26"/>
              </w:numPr>
              <w:rPr>
                <w:rFonts w:eastAsia="Calibri"/>
                <w:sz w:val="20"/>
                <w:szCs w:val="20"/>
              </w:rPr>
            </w:pPr>
            <w:r w:rsidRPr="00FD6310">
              <w:rPr>
                <w:rFonts w:eastAsia="Calibri"/>
                <w:sz w:val="20"/>
                <w:szCs w:val="20"/>
              </w:rPr>
              <w:t>Analyze assessment materials for bias.</w:t>
            </w:r>
          </w:p>
          <w:p w:rsidR="00DB7736" w:rsidRPr="00FD6310" w:rsidRDefault="00DB7736" w:rsidP="00DB7736">
            <w:pPr>
              <w:numPr>
                <w:ilvl w:val="0"/>
                <w:numId w:val="26"/>
              </w:numPr>
              <w:rPr>
                <w:rFonts w:eastAsia="Calibri"/>
                <w:sz w:val="20"/>
                <w:szCs w:val="20"/>
              </w:rPr>
            </w:pPr>
            <w:r w:rsidRPr="00FD6310">
              <w:rPr>
                <w:rFonts w:eastAsia="Calibri"/>
                <w:sz w:val="20"/>
                <w:szCs w:val="20"/>
              </w:rPr>
              <w:t>Clear learning targets at the start of the assessment.</w:t>
            </w:r>
          </w:p>
          <w:p w:rsidR="00DB7736" w:rsidRPr="00FD6310" w:rsidRDefault="00DB7736" w:rsidP="00DB7736">
            <w:pPr>
              <w:numPr>
                <w:ilvl w:val="0"/>
                <w:numId w:val="26"/>
              </w:numPr>
              <w:rPr>
                <w:rFonts w:eastAsia="Calibri"/>
                <w:sz w:val="20"/>
                <w:szCs w:val="20"/>
              </w:rPr>
            </w:pPr>
            <w:r w:rsidRPr="00FD6310">
              <w:rPr>
                <w:rFonts w:eastAsia="Calibri"/>
                <w:sz w:val="20"/>
                <w:szCs w:val="20"/>
              </w:rPr>
              <w:t>Allow for different ways for students to provide evidence of learning.</w:t>
            </w:r>
          </w:p>
          <w:p w:rsidR="00DB7736" w:rsidRPr="00FD6310" w:rsidRDefault="00DB7736" w:rsidP="00DB7736">
            <w:pPr>
              <w:numPr>
                <w:ilvl w:val="0"/>
                <w:numId w:val="26"/>
              </w:numPr>
              <w:rPr>
                <w:rFonts w:eastAsia="Calibri"/>
                <w:sz w:val="20"/>
                <w:szCs w:val="20"/>
              </w:rPr>
            </w:pPr>
            <w:r w:rsidRPr="00FD6310">
              <w:rPr>
                <w:rFonts w:eastAsia="Calibri"/>
                <w:sz w:val="20"/>
                <w:szCs w:val="20"/>
              </w:rPr>
              <w:t>Consider the impact of students publicly sharing their work.</w:t>
            </w:r>
          </w:p>
          <w:p w:rsidR="00DB7736" w:rsidRDefault="00DB7736" w:rsidP="00FC54A2">
            <w:pPr>
              <w:numPr>
                <w:ilvl w:val="0"/>
                <w:numId w:val="26"/>
              </w:numPr>
              <w:rPr>
                <w:rFonts w:eastAsia="Calibri"/>
                <w:sz w:val="20"/>
                <w:szCs w:val="20"/>
              </w:rPr>
            </w:pPr>
            <w:r w:rsidRPr="00FD6310">
              <w:rPr>
                <w:rFonts w:eastAsia="Calibri"/>
                <w:sz w:val="20"/>
                <w:szCs w:val="20"/>
              </w:rPr>
              <w:t>Ensure equitable access to materials and resources.</w:t>
            </w:r>
          </w:p>
          <w:p w:rsidR="00FC54A2" w:rsidRDefault="00FC54A2" w:rsidP="00FC54A2">
            <w:pPr>
              <w:ind w:left="720"/>
              <w:rPr>
                <w:rFonts w:eastAsia="Calibri"/>
                <w:sz w:val="20"/>
                <w:szCs w:val="20"/>
              </w:rPr>
            </w:pPr>
          </w:p>
          <w:p w:rsidR="00FC54A2" w:rsidRDefault="00FC54A2" w:rsidP="00FC54A2">
            <w:pPr>
              <w:spacing w:before="60" w:line="276" w:lineRule="auto"/>
              <w:ind w:left="720"/>
              <w:rPr>
                <w:rFonts w:ascii="Calibri" w:hAnsi="Calibri" w:cs="MS PGothic"/>
                <w:bCs w:val="0"/>
                <w:i/>
                <w:iCs/>
                <w:sz w:val="20"/>
                <w:szCs w:val="20"/>
              </w:rPr>
            </w:pPr>
            <w:r>
              <w:rPr>
                <w:b/>
                <w:bCs w:val="0"/>
                <w:sz w:val="20"/>
                <w:szCs w:val="20"/>
              </w:rPr>
              <w:t xml:space="preserve">Equity Focus Strategy: Differentiation </w:t>
            </w:r>
            <w:r>
              <w:rPr>
                <w:i/>
                <w:iCs/>
                <w:sz w:val="20"/>
                <w:szCs w:val="20"/>
              </w:rPr>
              <w:t>(Instructional approaches that respond to individual student needs and strengths to maximize student learning and success.)</w:t>
            </w:r>
          </w:p>
          <w:p w:rsidR="00FC54A2" w:rsidRDefault="00FC54A2" w:rsidP="00FC54A2">
            <w:pPr>
              <w:numPr>
                <w:ilvl w:val="0"/>
                <w:numId w:val="28"/>
              </w:numPr>
              <w:spacing w:line="276" w:lineRule="auto"/>
              <w:ind w:left="1440"/>
              <w:rPr>
                <w:sz w:val="20"/>
                <w:szCs w:val="20"/>
              </w:rPr>
            </w:pPr>
            <w:r>
              <w:rPr>
                <w:sz w:val="20"/>
                <w:szCs w:val="20"/>
              </w:rPr>
              <w:t xml:space="preserve">Identify student readiness and learning differences and modify instruction to meet varying needs of students. </w:t>
            </w:r>
          </w:p>
          <w:p w:rsidR="00FC54A2" w:rsidRDefault="00FC54A2" w:rsidP="00FC54A2">
            <w:pPr>
              <w:numPr>
                <w:ilvl w:val="0"/>
                <w:numId w:val="28"/>
              </w:numPr>
              <w:spacing w:line="276" w:lineRule="auto"/>
              <w:ind w:left="1440"/>
              <w:rPr>
                <w:sz w:val="20"/>
                <w:szCs w:val="20"/>
              </w:rPr>
            </w:pPr>
            <w:r>
              <w:rPr>
                <w:sz w:val="20"/>
                <w:szCs w:val="20"/>
              </w:rPr>
              <w:t xml:space="preserve">Present instruction/resources verbally and visually. </w:t>
            </w:r>
          </w:p>
          <w:p w:rsidR="00FC54A2" w:rsidRDefault="00FC54A2" w:rsidP="00FC54A2">
            <w:pPr>
              <w:numPr>
                <w:ilvl w:val="0"/>
                <w:numId w:val="28"/>
              </w:numPr>
              <w:spacing w:line="276" w:lineRule="auto"/>
              <w:ind w:left="1440"/>
              <w:rPr>
                <w:sz w:val="20"/>
                <w:szCs w:val="20"/>
              </w:rPr>
            </w:pPr>
            <w:r>
              <w:rPr>
                <w:sz w:val="20"/>
                <w:szCs w:val="20"/>
              </w:rPr>
              <w:t xml:space="preserve">Adapt tools and materials for access and use by all students. </w:t>
            </w:r>
          </w:p>
          <w:p w:rsidR="00FC54A2" w:rsidRDefault="00FC54A2" w:rsidP="00FC54A2">
            <w:pPr>
              <w:numPr>
                <w:ilvl w:val="0"/>
                <w:numId w:val="28"/>
              </w:numPr>
              <w:spacing w:line="276" w:lineRule="auto"/>
              <w:ind w:left="1440"/>
              <w:rPr>
                <w:sz w:val="20"/>
                <w:szCs w:val="20"/>
              </w:rPr>
            </w:pPr>
            <w:r>
              <w:rPr>
                <w:sz w:val="20"/>
                <w:szCs w:val="20"/>
              </w:rPr>
              <w:t xml:space="preserve">Adjust or set individual timelines and goals. </w:t>
            </w:r>
          </w:p>
          <w:p w:rsidR="00FC54A2" w:rsidRDefault="00FC54A2" w:rsidP="00FC54A2">
            <w:pPr>
              <w:numPr>
                <w:ilvl w:val="0"/>
                <w:numId w:val="28"/>
              </w:numPr>
              <w:spacing w:line="276" w:lineRule="auto"/>
              <w:ind w:left="1440"/>
              <w:rPr>
                <w:sz w:val="20"/>
                <w:szCs w:val="20"/>
              </w:rPr>
            </w:pPr>
            <w:r>
              <w:rPr>
                <w:sz w:val="20"/>
                <w:szCs w:val="20"/>
              </w:rPr>
              <w:t xml:space="preserve">Provide various means for students who struggle with language to communicate their ideas or questions. </w:t>
            </w:r>
          </w:p>
          <w:p w:rsidR="00FC54A2" w:rsidRDefault="00FC54A2" w:rsidP="00FC54A2">
            <w:pPr>
              <w:numPr>
                <w:ilvl w:val="0"/>
                <w:numId w:val="28"/>
              </w:numPr>
              <w:spacing w:line="276" w:lineRule="auto"/>
              <w:ind w:left="1440"/>
              <w:rPr>
                <w:sz w:val="20"/>
                <w:szCs w:val="20"/>
              </w:rPr>
            </w:pPr>
            <w:r>
              <w:rPr>
                <w:sz w:val="20"/>
                <w:szCs w:val="20"/>
              </w:rPr>
              <w:t xml:space="preserve">Provide some students with more complexity and others with more scaffolding, depending on their readiness levels.  </w:t>
            </w:r>
          </w:p>
          <w:p w:rsidR="00FC54A2" w:rsidRDefault="00FC54A2" w:rsidP="00FC54A2">
            <w:pPr>
              <w:numPr>
                <w:ilvl w:val="0"/>
                <w:numId w:val="28"/>
              </w:numPr>
              <w:spacing w:line="276" w:lineRule="auto"/>
              <w:ind w:left="1440"/>
              <w:rPr>
                <w:sz w:val="20"/>
                <w:szCs w:val="20"/>
              </w:rPr>
            </w:pPr>
            <w:r>
              <w:rPr>
                <w:sz w:val="20"/>
                <w:szCs w:val="20"/>
              </w:rPr>
              <w:t xml:space="preserve">Provide varying means through which students can express what they have learned. </w:t>
            </w:r>
          </w:p>
          <w:p w:rsidR="00FC54A2" w:rsidRDefault="00FC54A2" w:rsidP="00FC54A2">
            <w:pPr>
              <w:numPr>
                <w:ilvl w:val="0"/>
                <w:numId w:val="28"/>
              </w:numPr>
              <w:spacing w:line="276" w:lineRule="auto"/>
              <w:ind w:left="1440"/>
              <w:rPr>
                <w:sz w:val="20"/>
                <w:szCs w:val="20"/>
              </w:rPr>
            </w:pPr>
            <w:r>
              <w:rPr>
                <w:sz w:val="20"/>
                <w:szCs w:val="20"/>
              </w:rPr>
              <w:t xml:space="preserve">Encourage students to explore various subtopics of a larger topic or issue. </w:t>
            </w:r>
          </w:p>
          <w:p w:rsidR="00FC54A2" w:rsidRDefault="00FC54A2" w:rsidP="00FC54A2">
            <w:pPr>
              <w:numPr>
                <w:ilvl w:val="0"/>
                <w:numId w:val="28"/>
              </w:numPr>
              <w:spacing w:line="276" w:lineRule="auto"/>
              <w:ind w:left="1440"/>
              <w:rPr>
                <w:sz w:val="20"/>
                <w:szCs w:val="20"/>
              </w:rPr>
            </w:pPr>
            <w:r>
              <w:rPr>
                <w:sz w:val="20"/>
                <w:szCs w:val="20"/>
              </w:rPr>
              <w:t>Have students work in groups with defined jobs, allowing students to share thoughts/opinions through writing and verbalization.</w:t>
            </w:r>
          </w:p>
          <w:p w:rsidR="00FC54A2" w:rsidRDefault="00FC54A2" w:rsidP="00FC54A2">
            <w:pPr>
              <w:spacing w:line="276" w:lineRule="auto"/>
              <w:ind w:left="720"/>
              <w:rPr>
                <w:sz w:val="20"/>
                <w:szCs w:val="20"/>
              </w:rPr>
            </w:pPr>
          </w:p>
          <w:p w:rsidR="00FC54A2" w:rsidRDefault="00FC54A2" w:rsidP="00FC54A2">
            <w:pPr>
              <w:spacing w:line="276" w:lineRule="auto"/>
              <w:ind w:left="720"/>
              <w:rPr>
                <w:sz w:val="20"/>
                <w:szCs w:val="20"/>
              </w:rPr>
            </w:pPr>
            <w:r>
              <w:rPr>
                <w:sz w:val="20"/>
                <w:szCs w:val="20"/>
              </w:rPr>
              <w:t xml:space="preserve">Adapted from: Fountain, H. (2014). </w:t>
            </w:r>
            <w:hyperlink r:id="rId10" w:history="1">
              <w:r w:rsidRPr="00E74891">
                <w:rPr>
                  <w:rStyle w:val="Hyperlink"/>
                  <w:i/>
                  <w:iCs/>
                  <w:sz w:val="20"/>
                  <w:szCs w:val="20"/>
                </w:rPr>
                <w:t>Differentiated Instruction in Art</w:t>
              </w:r>
            </w:hyperlink>
            <w:r>
              <w:rPr>
                <w:sz w:val="20"/>
                <w:szCs w:val="20"/>
              </w:rPr>
              <w:t xml:space="preserve">. Worcester, MA: Davis. </w:t>
            </w:r>
          </w:p>
          <w:p w:rsidR="00FC54A2" w:rsidRPr="00FD6310" w:rsidRDefault="0082422D" w:rsidP="00FC54A2">
            <w:pPr>
              <w:ind w:left="720"/>
              <w:rPr>
                <w:rFonts w:eastAsia="Calibri"/>
                <w:sz w:val="20"/>
                <w:szCs w:val="20"/>
              </w:rPr>
            </w:pPr>
            <w:hyperlink r:id="rId11" w:history="1">
              <w:r w:rsidR="00FC54A2">
                <w:rPr>
                  <w:rStyle w:val="Hyperlink"/>
                  <w:sz w:val="20"/>
                  <w:szCs w:val="20"/>
                </w:rPr>
                <w:t>SWIFT UDL</w:t>
              </w:r>
            </w:hyperlink>
          </w:p>
          <w:p w:rsidR="00FC54A2" w:rsidRPr="00FD6CEA" w:rsidRDefault="00FC54A2" w:rsidP="00FC54A2">
            <w:pPr>
              <w:spacing w:after="120"/>
              <w:rPr>
                <w:rFonts w:eastAsia="Calibri"/>
                <w:sz w:val="20"/>
                <w:szCs w:val="20"/>
              </w:rPr>
            </w:pPr>
          </w:p>
        </w:tc>
      </w:tr>
      <w:tr w:rsidR="00DB7736" w:rsidRPr="00FD6310" w:rsidTr="008C4518">
        <w:trPr>
          <w:trHeight w:val="1860"/>
        </w:trPr>
        <w:tc>
          <w:tcPr>
            <w:tcW w:w="14535" w:type="dxa"/>
          </w:tcPr>
          <w:p w:rsidR="00DB7736" w:rsidRPr="00FD6310" w:rsidRDefault="00DB7736" w:rsidP="008C4518">
            <w:pPr>
              <w:spacing w:before="60"/>
              <w:rPr>
                <w:rFonts w:eastAsia="Calibri"/>
                <w:b/>
                <w:sz w:val="20"/>
                <w:szCs w:val="20"/>
              </w:rPr>
            </w:pPr>
            <w:r w:rsidRPr="00FD6310">
              <w:rPr>
                <w:rFonts w:eastAsia="Calibri"/>
                <w:b/>
                <w:sz w:val="20"/>
                <w:szCs w:val="20"/>
              </w:rPr>
              <w:t>Possible Student Misconceptions:</w:t>
            </w:r>
          </w:p>
        </w:tc>
      </w:tr>
    </w:tbl>
    <w:p w:rsidR="00DB7736" w:rsidRDefault="00DB7736" w:rsidP="00DB7736">
      <w:pPr>
        <w:rPr>
          <w:rFonts w:ascii="Calibri" w:eastAsia="Calibri" w:hAnsi="Calibri"/>
        </w:rPr>
      </w:pPr>
    </w:p>
    <w:p w:rsidR="007A0E4A" w:rsidRDefault="007A0E4A"/>
    <w:tbl>
      <w:tblPr>
        <w:tblW w:w="1455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550"/>
      </w:tblGrid>
      <w:tr w:rsidR="00DB7736" w:rsidRPr="00FD6310" w:rsidTr="008C4518">
        <w:tc>
          <w:tcPr>
            <w:tcW w:w="14550" w:type="dxa"/>
            <w:shd w:val="clear" w:color="auto" w:fill="000000"/>
            <w:tcMar>
              <w:top w:w="100" w:type="dxa"/>
              <w:left w:w="100" w:type="dxa"/>
              <w:bottom w:w="100" w:type="dxa"/>
              <w:right w:w="100" w:type="dxa"/>
            </w:tcMar>
          </w:tcPr>
          <w:p w:rsidR="00DB7736" w:rsidRPr="00FD6310" w:rsidRDefault="00DB7736" w:rsidP="008C4518">
            <w:pPr>
              <w:rPr>
                <w:rFonts w:eastAsia="Calibri"/>
                <w:color w:val="FFFFFF"/>
                <w:sz w:val="20"/>
                <w:szCs w:val="20"/>
                <w:highlight w:val="black"/>
              </w:rPr>
            </w:pPr>
            <w:r w:rsidRPr="00FD6310">
              <w:rPr>
                <w:rFonts w:eastAsia="Calibri"/>
                <w:b/>
                <w:color w:val="FFFFFF"/>
                <w:sz w:val="20"/>
                <w:szCs w:val="20"/>
                <w:highlight w:val="black"/>
              </w:rPr>
              <w:t>Teacher Reflections</w:t>
            </w:r>
          </w:p>
        </w:tc>
      </w:tr>
      <w:tr w:rsidR="00DB7736" w:rsidRPr="00FD6310" w:rsidTr="008C4518">
        <w:tc>
          <w:tcPr>
            <w:tcW w:w="14550" w:type="dxa"/>
            <w:shd w:val="clear" w:color="auto" w:fill="auto"/>
            <w:tcMar>
              <w:top w:w="100" w:type="dxa"/>
              <w:left w:w="100" w:type="dxa"/>
              <w:bottom w:w="100" w:type="dxa"/>
              <w:right w:w="100" w:type="dxa"/>
            </w:tcMar>
          </w:tcPr>
          <w:p w:rsidR="00DB7736" w:rsidRPr="00FD6310" w:rsidRDefault="00DB7736" w:rsidP="00DB7736">
            <w:pPr>
              <w:rPr>
                <w:rFonts w:eastAsia="Calibri"/>
                <w:b/>
                <w:sz w:val="20"/>
                <w:szCs w:val="20"/>
              </w:rPr>
            </w:pPr>
            <w:r w:rsidRPr="00FD6310">
              <w:rPr>
                <w:rFonts w:eastAsia="Calibri"/>
                <w:b/>
                <w:sz w:val="20"/>
                <w:szCs w:val="20"/>
              </w:rPr>
              <w:t>Reflection Questions</w:t>
            </w:r>
          </w:p>
          <w:p w:rsidR="00DB7736" w:rsidRPr="00FD6310" w:rsidRDefault="00DB7736" w:rsidP="00DB7736">
            <w:pPr>
              <w:numPr>
                <w:ilvl w:val="0"/>
                <w:numId w:val="27"/>
              </w:numPr>
              <w:rPr>
                <w:rFonts w:eastAsia="Calibri"/>
                <w:i/>
                <w:sz w:val="20"/>
                <w:szCs w:val="20"/>
              </w:rPr>
            </w:pPr>
            <w:r w:rsidRPr="00FD6310">
              <w:rPr>
                <w:rFonts w:eastAsia="Calibri"/>
                <w:i/>
                <w:sz w:val="20"/>
                <w:szCs w:val="20"/>
              </w:rPr>
              <w:t xml:space="preserve">What parts of the process worked well? </w:t>
            </w:r>
          </w:p>
          <w:p w:rsidR="00DB7736" w:rsidRPr="00FD6310" w:rsidRDefault="00DB7736" w:rsidP="00DB7736">
            <w:pPr>
              <w:numPr>
                <w:ilvl w:val="0"/>
                <w:numId w:val="27"/>
              </w:numPr>
              <w:rPr>
                <w:rFonts w:eastAsia="Calibri"/>
                <w:i/>
                <w:sz w:val="20"/>
                <w:szCs w:val="20"/>
              </w:rPr>
            </w:pPr>
            <w:r w:rsidRPr="00FD6310">
              <w:rPr>
                <w:rFonts w:eastAsia="Calibri"/>
                <w:i/>
                <w:sz w:val="20"/>
                <w:szCs w:val="20"/>
              </w:rPr>
              <w:t xml:space="preserve">What needs adjusting? </w:t>
            </w:r>
          </w:p>
          <w:p w:rsidR="00DB7736" w:rsidRPr="00FD6310" w:rsidRDefault="00DB7736" w:rsidP="00DB7736">
            <w:pPr>
              <w:numPr>
                <w:ilvl w:val="0"/>
                <w:numId w:val="27"/>
              </w:numPr>
              <w:rPr>
                <w:rFonts w:eastAsia="Calibri"/>
                <w:i/>
                <w:sz w:val="20"/>
                <w:szCs w:val="20"/>
              </w:rPr>
            </w:pPr>
            <w:r w:rsidRPr="00FD6310">
              <w:rPr>
                <w:rFonts w:eastAsia="Calibri"/>
                <w:i/>
                <w:sz w:val="20"/>
                <w:szCs w:val="20"/>
              </w:rPr>
              <w:t xml:space="preserve">Looking at evidence of student work, what strengths and weaknesses did you identify? </w:t>
            </w:r>
          </w:p>
          <w:p w:rsidR="00DB7736" w:rsidRPr="00FD6CEA" w:rsidRDefault="00DB7736" w:rsidP="00FD6CEA">
            <w:pPr>
              <w:numPr>
                <w:ilvl w:val="0"/>
                <w:numId w:val="27"/>
              </w:numPr>
              <w:spacing w:after="120"/>
              <w:rPr>
                <w:rFonts w:eastAsia="Calibri"/>
                <w:i/>
                <w:sz w:val="20"/>
                <w:szCs w:val="20"/>
              </w:rPr>
            </w:pPr>
            <w:r w:rsidRPr="00FD6310">
              <w:rPr>
                <w:rFonts w:eastAsia="Calibri"/>
                <w:i/>
                <w:sz w:val="20"/>
                <w:szCs w:val="20"/>
              </w:rPr>
              <w:t>What are your next steps for addressing these areas?</w:t>
            </w:r>
          </w:p>
        </w:tc>
      </w:tr>
    </w:tbl>
    <w:p w:rsidR="0092656D" w:rsidRPr="007963EC" w:rsidRDefault="0092656D" w:rsidP="00DB7736">
      <w:pPr>
        <w:outlineLvl w:val="0"/>
      </w:pPr>
    </w:p>
    <w:sectPr w:rsidR="0092656D" w:rsidRPr="007963EC" w:rsidSect="00A6595A">
      <w:footerReference w:type="default" r:id="rId12"/>
      <w:headerReference w:type="first" r:id="rId13"/>
      <w:pgSz w:w="15840" w:h="12240" w:orient="landscape"/>
      <w:pgMar w:top="1440" w:right="720" w:bottom="144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918" w:rsidRDefault="00545918" w:rsidP="004062C7">
      <w:r>
        <w:separator/>
      </w:r>
    </w:p>
  </w:endnote>
  <w:endnote w:type="continuationSeparator" w:id="0">
    <w:p w:rsidR="00545918" w:rsidRDefault="00545918"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Proxima Nova">
    <w:altName w:val="Tahoma"/>
    <w:charset w:val="00"/>
    <w:family w:val="auto"/>
    <w:pitch w:val="default"/>
  </w:font>
  <w:font w:name="Segoe UI Symbol">
    <w:panose1 w:val="020B0502040204020203"/>
    <w:charset w:val="00"/>
    <w:family w:val="swiss"/>
    <w:pitch w:val="variable"/>
    <w:sig w:usb0="8000006F" w:usb1="1200FBEF" w:usb2="0064C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800"/>
      <w:gridCol w:w="4798"/>
      <w:gridCol w:w="4802"/>
    </w:tblGrid>
    <w:tr w:rsidR="00937F53" w:rsidTr="00926E53">
      <w:trPr>
        <w:trHeight w:val="633"/>
        <w:tblHeader/>
      </w:trPr>
      <w:tc>
        <w:tcPr>
          <w:tcW w:w="4808" w:type="dxa"/>
        </w:tcPr>
        <w:p w:rsidR="00937F53" w:rsidRPr="00937FFC" w:rsidRDefault="007A0E4A" w:rsidP="003518CA">
          <w:pPr>
            <w:rPr>
              <w:sz w:val="20"/>
            </w:rPr>
          </w:pPr>
          <w:r>
            <w:rPr>
              <w:sz w:val="20"/>
            </w:rPr>
            <w:t xml:space="preserve">Social Studies </w:t>
          </w:r>
          <w:r w:rsidR="00DB7736">
            <w:rPr>
              <w:sz w:val="20"/>
            </w:rPr>
            <w:t>Performance Assessment Template</w:t>
          </w:r>
          <w:r w:rsidR="00937F53" w:rsidRPr="00937FFC">
            <w:rPr>
              <w:sz w:val="20"/>
            </w:rPr>
            <w:t xml:space="preserve"> </w:t>
          </w:r>
          <w:r w:rsidR="004062C7" w:rsidRPr="00937FFC">
            <w:rPr>
              <w:sz w:val="20"/>
            </w:rPr>
            <w:br/>
          </w:r>
          <w:r w:rsidR="00937F53" w:rsidRPr="00937FFC">
            <w:rPr>
              <w:sz w:val="20"/>
            </w:rPr>
            <w:t>(Revised</w:t>
          </w:r>
          <w:r w:rsidR="00DB7736">
            <w:rPr>
              <w:sz w:val="20"/>
            </w:rPr>
            <w:t xml:space="preserve">: </w:t>
          </w:r>
          <w:r w:rsidR="00E74891">
            <w:rPr>
              <w:sz w:val="20"/>
            </w:rPr>
            <w:t>March 2</w:t>
          </w:r>
          <w:r w:rsidR="0082422D">
            <w:rPr>
              <w:sz w:val="20"/>
            </w:rPr>
            <w:t>1</w:t>
          </w:r>
          <w:r w:rsidR="00E74891">
            <w:rPr>
              <w:sz w:val="20"/>
            </w:rPr>
            <w:t>,</w:t>
          </w:r>
          <w:r w:rsidR="00DB7736">
            <w:rPr>
              <w:sz w:val="20"/>
            </w:rPr>
            <w:t xml:space="preserve"> 2019</w:t>
          </w:r>
          <w:r w:rsidR="003518CA">
            <w:rPr>
              <w:sz w:val="20"/>
            </w:rPr>
            <w:t>)</w:t>
          </w:r>
        </w:p>
      </w:tc>
      <w:tc>
        <w:tcPr>
          <w:tcW w:w="4808" w:type="dxa"/>
        </w:tcPr>
        <w:p w:rsidR="00937F53" w:rsidRPr="00937FFC" w:rsidRDefault="00937F53" w:rsidP="00937FFC">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FC54A2">
            <w:rPr>
              <w:b/>
              <w:noProof/>
              <w:sz w:val="20"/>
            </w:rPr>
            <w:t>5</w:t>
          </w:r>
          <w:r w:rsidRPr="00937FFC">
            <w:rPr>
              <w:b/>
              <w:sz w:val="20"/>
            </w:rPr>
            <w:fldChar w:fldCharType="end"/>
          </w:r>
          <w:r w:rsidRPr="00937FFC">
            <w:rPr>
              <w:sz w:val="20"/>
            </w:rPr>
            <w:t xml:space="preserve"> of </w:t>
          </w:r>
          <w:r w:rsidR="001E7FBE" w:rsidRPr="00937FFC">
            <w:rPr>
              <w:sz w:val="20"/>
            </w:rPr>
            <w:fldChar w:fldCharType="begin"/>
          </w:r>
          <w:r w:rsidR="001E7FBE" w:rsidRPr="00937FFC">
            <w:rPr>
              <w:sz w:val="20"/>
            </w:rPr>
            <w:instrText xml:space="preserve"> NUMPAGES  \* Arabic  \* MERGEFORMAT </w:instrText>
          </w:r>
          <w:r w:rsidR="001E7FBE" w:rsidRPr="00937FFC">
            <w:rPr>
              <w:sz w:val="20"/>
            </w:rPr>
            <w:fldChar w:fldCharType="separate"/>
          </w:r>
          <w:r w:rsidR="00FC54A2" w:rsidRPr="00FC54A2">
            <w:rPr>
              <w:b/>
              <w:noProof/>
              <w:sz w:val="20"/>
            </w:rPr>
            <w:t>5</w:t>
          </w:r>
          <w:r w:rsidR="001E7FBE" w:rsidRPr="00937FFC">
            <w:rPr>
              <w:b/>
              <w:noProof/>
              <w:sz w:val="20"/>
            </w:rPr>
            <w:fldChar w:fldCharType="end"/>
          </w:r>
        </w:p>
      </w:tc>
      <w:tc>
        <w:tcPr>
          <w:tcW w:w="4809" w:type="dxa"/>
        </w:tcPr>
        <w:p w:rsidR="00937F53" w:rsidRPr="00937FFC" w:rsidRDefault="00937F53" w:rsidP="00937FFC">
          <w:pPr>
            <w:jc w:val="right"/>
            <w:rPr>
              <w:sz w:val="20"/>
              <w:szCs w:val="18"/>
            </w:rPr>
          </w:pPr>
          <w:r w:rsidRPr="00937FFC">
            <w:rPr>
              <w:noProof/>
              <w:sz w:val="20"/>
            </w:rPr>
            <w:drawing>
              <wp:inline distT="0" distB="0" distL="0" distR="0" wp14:anchorId="3CB622A3" wp14:editId="325B89FA">
                <wp:extent cx="920017" cy="230744"/>
                <wp:effectExtent l="0" t="0" r="0" b="0"/>
                <wp:docPr id="2" name="Picture 2"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rsidR="002237E0" w:rsidRPr="00E773E9" w:rsidRDefault="002237E0" w:rsidP="004062C7">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918" w:rsidRDefault="00545918" w:rsidP="004062C7">
      <w:r>
        <w:separator/>
      </w:r>
    </w:p>
  </w:footnote>
  <w:footnote w:type="continuationSeparator" w:id="0">
    <w:p w:rsidR="00545918" w:rsidRDefault="00545918" w:rsidP="004062C7">
      <w:r>
        <w:continuationSeparator/>
      </w:r>
    </w:p>
  </w:footnote>
  <w:footnote w:id="1">
    <w:p w:rsidR="00D5330C" w:rsidRPr="00D5330C" w:rsidRDefault="00D5330C">
      <w:pPr>
        <w:pStyle w:val="FootnoteText"/>
        <w:rPr>
          <w:b/>
        </w:rPr>
      </w:pPr>
      <w:r w:rsidRPr="00F444B8">
        <w:rPr>
          <w:rStyle w:val="FootnoteReference"/>
        </w:rPr>
        <w:footnoteRef/>
      </w:r>
      <w:r w:rsidRPr="00F444B8">
        <w:t xml:space="preserve"> Based on the National Coalition for Core Arts Standards </w:t>
      </w:r>
      <w:hyperlink r:id="rId1" w:history="1">
        <w:r w:rsidRPr="00F444B8">
          <w:rPr>
            <w:rStyle w:val="Hyperlink"/>
            <w:rFonts w:cs="Calibri"/>
          </w:rPr>
          <w:t>Model Cornerstone Assessment</w:t>
        </w:r>
      </w:hyperlink>
      <w:r w:rsidRPr="00F444B8">
        <w:t xml:space="preserve"> template as well as previous work of the Agency.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7E0" w:rsidRDefault="002237E0" w:rsidP="004062C7">
    <w:pPr>
      <w:pStyle w:val="AOE-Header"/>
    </w:pPr>
    <w:r>
      <w:drawing>
        <wp:inline distT="0" distB="0" distL="0" distR="0" wp14:anchorId="49B723DE" wp14:editId="11E7E108">
          <wp:extent cx="1771650" cy="462764"/>
          <wp:effectExtent l="0" t="0" r="0" b="0"/>
          <wp:docPr id="1" name="Picture 1"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156" cy="468643"/>
                  </a:xfrm>
                  <a:prstGeom prst="rect">
                    <a:avLst/>
                  </a:prstGeom>
                </pic:spPr>
              </pic:pic>
            </a:graphicData>
          </a:graphic>
        </wp:inline>
      </w:drawing>
    </w:r>
  </w:p>
  <w:p w:rsidR="002237E0" w:rsidRPr="007963EC" w:rsidRDefault="00CC230C" w:rsidP="004062C7">
    <w:pPr>
      <w:pStyle w:val="AOE-Header"/>
    </w:pPr>
    <w:r w:rsidRPr="00CC230C">
      <w:rPr>
        <w:shd w:val="clear" w:color="auto" w:fill="FFFFFF"/>
      </w:rPr>
      <w:t>219 North Main Street, Suite 402</w:t>
    </w:r>
    <w:r w:rsidRPr="00CC230C">
      <w:br/>
    </w:r>
    <w:r w:rsidRPr="00CC230C">
      <w:rPr>
        <w:shd w:val="clear" w:color="auto" w:fill="FFFFFF"/>
      </w:rPr>
      <w:t>Barre, VT 05641</w:t>
    </w:r>
    <w:r w:rsidRPr="007963EC">
      <w:t xml:space="preserve"> </w:t>
    </w:r>
    <w:r w:rsidR="002237E0" w:rsidRPr="007963EC">
      <w:t>(p) 802-</w:t>
    </w:r>
    <w:r>
      <w:t>479</w:t>
    </w:r>
    <w:r w:rsidR="002237E0" w:rsidRPr="007963EC">
      <w:t>-</w:t>
    </w:r>
    <w:r>
      <w:t>1030</w:t>
    </w:r>
    <w:r w:rsidR="002237E0" w:rsidRPr="007963EC">
      <w:t xml:space="preserve"> | (f) 802-</w:t>
    </w:r>
    <w:r w:rsidR="006F698F">
      <w:t>479-1835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C5FEA"/>
    <w:multiLevelType w:val="hybridMultilevel"/>
    <w:tmpl w:val="DAEE60F6"/>
    <w:lvl w:ilvl="0" w:tplc="65B4115C">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0"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FF1E94"/>
    <w:multiLevelType w:val="multilevel"/>
    <w:tmpl w:val="8F8A2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F920A93"/>
    <w:multiLevelType w:val="multilevel"/>
    <w:tmpl w:val="D18EE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5504C79"/>
    <w:multiLevelType w:val="multilevel"/>
    <w:tmpl w:val="280EE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651A7D"/>
    <w:multiLevelType w:val="multilevel"/>
    <w:tmpl w:val="B78267C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5"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4"/>
  </w:num>
  <w:num w:numId="2">
    <w:abstractNumId w:val="11"/>
  </w:num>
  <w:num w:numId="3">
    <w:abstractNumId w:val="23"/>
  </w:num>
  <w:num w:numId="4">
    <w:abstractNumId w:val="19"/>
  </w:num>
  <w:num w:numId="5">
    <w:abstractNumId w:val="20"/>
  </w:num>
  <w:num w:numId="6">
    <w:abstractNumId w:val="3"/>
  </w:num>
  <w:num w:numId="7">
    <w:abstractNumId w:val="0"/>
  </w:num>
  <w:num w:numId="8">
    <w:abstractNumId w:val="12"/>
  </w:num>
  <w:num w:numId="9">
    <w:abstractNumId w:val="18"/>
  </w:num>
  <w:num w:numId="10">
    <w:abstractNumId w:val="25"/>
  </w:num>
  <w:num w:numId="11">
    <w:abstractNumId w:val="13"/>
  </w:num>
  <w:num w:numId="12">
    <w:abstractNumId w:val="6"/>
  </w:num>
  <w:num w:numId="13">
    <w:abstractNumId w:val="27"/>
  </w:num>
  <w:num w:numId="14">
    <w:abstractNumId w:val="7"/>
  </w:num>
  <w:num w:numId="15">
    <w:abstractNumId w:val="26"/>
  </w:num>
  <w:num w:numId="16">
    <w:abstractNumId w:val="2"/>
  </w:num>
  <w:num w:numId="17">
    <w:abstractNumId w:val="5"/>
  </w:num>
  <w:num w:numId="18">
    <w:abstractNumId w:val="14"/>
  </w:num>
  <w:num w:numId="19">
    <w:abstractNumId w:val="22"/>
  </w:num>
  <w:num w:numId="20">
    <w:abstractNumId w:val="9"/>
  </w:num>
  <w:num w:numId="21">
    <w:abstractNumId w:val="10"/>
  </w:num>
  <w:num w:numId="22">
    <w:abstractNumId w:val="8"/>
  </w:num>
  <w:num w:numId="23">
    <w:abstractNumId w:val="1"/>
  </w:num>
  <w:num w:numId="24">
    <w:abstractNumId w:val="4"/>
  </w:num>
  <w:num w:numId="25">
    <w:abstractNumId w:val="15"/>
  </w:num>
  <w:num w:numId="26">
    <w:abstractNumId w:val="16"/>
  </w:num>
  <w:num w:numId="27">
    <w:abstractNumId w:val="1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zNbawADJMDMwMDJV0lIJTi4sz8/NACoxqAR9xdPUsAAAA"/>
  </w:docVars>
  <w:rsids>
    <w:rsidRoot w:val="00D45248"/>
    <w:rsid w:val="000B10ED"/>
    <w:rsid w:val="000D2859"/>
    <w:rsid w:val="000E0A71"/>
    <w:rsid w:val="000F3A23"/>
    <w:rsid w:val="000F69A4"/>
    <w:rsid w:val="00102EA8"/>
    <w:rsid w:val="00161F11"/>
    <w:rsid w:val="001645D6"/>
    <w:rsid w:val="001C1F88"/>
    <w:rsid w:val="001D07C0"/>
    <w:rsid w:val="001E7FBE"/>
    <w:rsid w:val="00217F09"/>
    <w:rsid w:val="00221659"/>
    <w:rsid w:val="002237E0"/>
    <w:rsid w:val="0024786D"/>
    <w:rsid w:val="00256309"/>
    <w:rsid w:val="002A0C9D"/>
    <w:rsid w:val="002D1227"/>
    <w:rsid w:val="002E0106"/>
    <w:rsid w:val="002E1F38"/>
    <w:rsid w:val="002E3710"/>
    <w:rsid w:val="002E7E11"/>
    <w:rsid w:val="00303591"/>
    <w:rsid w:val="00314055"/>
    <w:rsid w:val="00326074"/>
    <w:rsid w:val="003274F5"/>
    <w:rsid w:val="003275FD"/>
    <w:rsid w:val="00334D48"/>
    <w:rsid w:val="00340C04"/>
    <w:rsid w:val="003518CA"/>
    <w:rsid w:val="00380D6C"/>
    <w:rsid w:val="003A22D2"/>
    <w:rsid w:val="003D0155"/>
    <w:rsid w:val="003D090F"/>
    <w:rsid w:val="004062C7"/>
    <w:rsid w:val="00442899"/>
    <w:rsid w:val="00444A7A"/>
    <w:rsid w:val="00490247"/>
    <w:rsid w:val="004A7AD0"/>
    <w:rsid w:val="004B7F41"/>
    <w:rsid w:val="00500232"/>
    <w:rsid w:val="00545918"/>
    <w:rsid w:val="005464E9"/>
    <w:rsid w:val="00575711"/>
    <w:rsid w:val="005914F0"/>
    <w:rsid w:val="005A2F07"/>
    <w:rsid w:val="005D1A81"/>
    <w:rsid w:val="005D7389"/>
    <w:rsid w:val="005D7ABB"/>
    <w:rsid w:val="00626212"/>
    <w:rsid w:val="0063049A"/>
    <w:rsid w:val="00645769"/>
    <w:rsid w:val="00651E8D"/>
    <w:rsid w:val="00652C51"/>
    <w:rsid w:val="006703F6"/>
    <w:rsid w:val="006F698F"/>
    <w:rsid w:val="00721DF9"/>
    <w:rsid w:val="00734368"/>
    <w:rsid w:val="00746838"/>
    <w:rsid w:val="007963EC"/>
    <w:rsid w:val="007A0E4A"/>
    <w:rsid w:val="007D5E67"/>
    <w:rsid w:val="0082162E"/>
    <w:rsid w:val="0082422D"/>
    <w:rsid w:val="00865A62"/>
    <w:rsid w:val="0087647A"/>
    <w:rsid w:val="008C332D"/>
    <w:rsid w:val="008F6F90"/>
    <w:rsid w:val="0092656D"/>
    <w:rsid w:val="00926E53"/>
    <w:rsid w:val="00937F53"/>
    <w:rsid w:val="00937FFC"/>
    <w:rsid w:val="00961A6D"/>
    <w:rsid w:val="009D4528"/>
    <w:rsid w:val="009E2567"/>
    <w:rsid w:val="009F18D6"/>
    <w:rsid w:val="00A1547A"/>
    <w:rsid w:val="00A24AEB"/>
    <w:rsid w:val="00A6595A"/>
    <w:rsid w:val="00A92164"/>
    <w:rsid w:val="00AC2BBA"/>
    <w:rsid w:val="00AF33BA"/>
    <w:rsid w:val="00AF602B"/>
    <w:rsid w:val="00B04C63"/>
    <w:rsid w:val="00B1458F"/>
    <w:rsid w:val="00B25D38"/>
    <w:rsid w:val="00B25DEC"/>
    <w:rsid w:val="00B6001B"/>
    <w:rsid w:val="00BD7ABE"/>
    <w:rsid w:val="00BE43B0"/>
    <w:rsid w:val="00C22FCB"/>
    <w:rsid w:val="00C26368"/>
    <w:rsid w:val="00C34A1A"/>
    <w:rsid w:val="00CB29BB"/>
    <w:rsid w:val="00CC230C"/>
    <w:rsid w:val="00CE5CFE"/>
    <w:rsid w:val="00D04EC2"/>
    <w:rsid w:val="00D064CA"/>
    <w:rsid w:val="00D22EA0"/>
    <w:rsid w:val="00D23566"/>
    <w:rsid w:val="00D41020"/>
    <w:rsid w:val="00D45248"/>
    <w:rsid w:val="00D5330C"/>
    <w:rsid w:val="00D569C7"/>
    <w:rsid w:val="00D8609F"/>
    <w:rsid w:val="00DB7736"/>
    <w:rsid w:val="00DE7FA2"/>
    <w:rsid w:val="00E2171D"/>
    <w:rsid w:val="00E606BA"/>
    <w:rsid w:val="00E65465"/>
    <w:rsid w:val="00E74891"/>
    <w:rsid w:val="00E773E9"/>
    <w:rsid w:val="00EA055F"/>
    <w:rsid w:val="00EE5E11"/>
    <w:rsid w:val="00F444B8"/>
    <w:rsid w:val="00F76AD8"/>
    <w:rsid w:val="00F90A87"/>
    <w:rsid w:val="00FA084B"/>
    <w:rsid w:val="00FC54A2"/>
    <w:rsid w:val="00FD6310"/>
    <w:rsid w:val="00FD6CEA"/>
    <w:rsid w:val="00FE235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9951F0"/>
  <w15:docId w15:val="{ED8D8A87-CCC8-4DF1-BCAC-5549996C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AC2BBA"/>
    <w:pPr>
      <w:numPr>
        <w:numId w:val="24"/>
      </w:numPr>
    </w:pPr>
  </w:style>
  <w:style w:type="character" w:customStyle="1" w:styleId="AOENumberedListChar">
    <w:name w:val="AOE Numbered List Char"/>
    <w:basedOn w:val="AOEBulletedListChar"/>
    <w:link w:val="AOENumberedList"/>
    <w:rsid w:val="00AC2BBA"/>
    <w:rPr>
      <w:rFonts w:ascii="Palatino Linotype" w:eastAsiaTheme="minorEastAsia" w:hAnsi="Palatino Linotype" w:cs="Calibri"/>
      <w:bCs/>
    </w:rPr>
  </w:style>
  <w:style w:type="paragraph" w:styleId="FootnoteText">
    <w:name w:val="footnote text"/>
    <w:basedOn w:val="Normal"/>
    <w:link w:val="FootnoteTextChar"/>
    <w:uiPriority w:val="99"/>
    <w:semiHidden/>
    <w:unhideWhenUsed/>
    <w:rsid w:val="00D5330C"/>
    <w:rPr>
      <w:sz w:val="20"/>
      <w:szCs w:val="20"/>
    </w:rPr>
  </w:style>
  <w:style w:type="character" w:customStyle="1" w:styleId="FootnoteTextChar">
    <w:name w:val="Footnote Text Char"/>
    <w:basedOn w:val="DefaultParagraphFont"/>
    <w:link w:val="FootnoteText"/>
    <w:uiPriority w:val="99"/>
    <w:semiHidden/>
    <w:rsid w:val="00D5330C"/>
    <w:rPr>
      <w:rFonts w:ascii="Palatino Linotype" w:eastAsia="Times New Roman" w:hAnsi="Palatino Linotype" w:cs="Calibri"/>
      <w:bCs/>
      <w:sz w:val="20"/>
      <w:szCs w:val="20"/>
    </w:rPr>
  </w:style>
  <w:style w:type="character" w:styleId="FootnoteReference">
    <w:name w:val="footnote reference"/>
    <w:basedOn w:val="DefaultParagraphFont"/>
    <w:uiPriority w:val="99"/>
    <w:semiHidden/>
    <w:unhideWhenUsed/>
    <w:rsid w:val="00D5330C"/>
    <w:rPr>
      <w:vertAlign w:val="superscript"/>
    </w:rPr>
  </w:style>
  <w:style w:type="character" w:customStyle="1" w:styleId="UnresolvedMention1">
    <w:name w:val="Unresolved Mention1"/>
    <w:basedOn w:val="DefaultParagraphFont"/>
    <w:uiPriority w:val="99"/>
    <w:semiHidden/>
    <w:unhideWhenUsed/>
    <w:rsid w:val="00D5330C"/>
    <w:rPr>
      <w:color w:val="605E5C"/>
      <w:shd w:val="clear" w:color="auto" w:fill="E1DFDD"/>
    </w:rPr>
  </w:style>
  <w:style w:type="character" w:customStyle="1" w:styleId="UnresolvedMention2">
    <w:name w:val="Unresolved Mention2"/>
    <w:basedOn w:val="DefaultParagraphFont"/>
    <w:uiPriority w:val="99"/>
    <w:semiHidden/>
    <w:unhideWhenUsed/>
    <w:rsid w:val="00B1458F"/>
    <w:rPr>
      <w:color w:val="605E5C"/>
      <w:shd w:val="clear" w:color="auto" w:fill="E1DFDD"/>
    </w:rPr>
  </w:style>
  <w:style w:type="character" w:styleId="UnresolvedMention">
    <w:name w:val="Unresolved Mention"/>
    <w:basedOn w:val="DefaultParagraphFont"/>
    <w:uiPriority w:val="99"/>
    <w:semiHidden/>
    <w:unhideWhenUsed/>
    <w:rsid w:val="00E74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3teachers.org/inquiry-design-mode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ide.swiftschools.org/resource/130/five-steps-to-get-started-using-ud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avisart.com/Products/121-3/differentiated-instruction-in-art.aspx" TargetMode="External"/><Relationship Id="rId4" Type="http://schemas.openxmlformats.org/officeDocument/2006/relationships/settings" Target="settings.xml"/><Relationship Id="rId9" Type="http://schemas.openxmlformats.org/officeDocument/2006/relationships/hyperlink" Target="https://drive.google.com/file/d/1ZYx-Fv6Q7hbVIcQJQ9xMlOD1LrxzfF8-/view?usp=sharin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1v-Ys2NZxJx9xQQJnR-GqQMqtfhQ_BggT/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Fitzsimmons\Documents\2016-2017%20PBL\Assessment\Performance%20Assessment\Accessible%20Templates\Social%20Studies%20Performance%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50A85-44F3-4083-B90B-51335FAE3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Social Studies Performance Assessment Template.dotx</Template>
  <TotalTime>1</TotalTime>
  <Pages>5</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Social Studies Performance Assessment Template</vt:lpstr>
    </vt:vector>
  </TitlesOfParts>
  <Company>Vermont Agency of Education</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Performance Assessment Template</dc:title>
  <dc:creator>Vermont Agency of Education</dc:creator>
  <cp:lastModifiedBy>Chicoine, Lucille</cp:lastModifiedBy>
  <cp:revision>3</cp:revision>
  <cp:lastPrinted>2015-09-09T16:37:00Z</cp:lastPrinted>
  <dcterms:created xsi:type="dcterms:W3CDTF">2019-03-22T13:32:00Z</dcterms:created>
  <dcterms:modified xsi:type="dcterms:W3CDTF">2019-03-22T13:57:00Z</dcterms:modified>
</cp:coreProperties>
</file>